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1DE42" w14:textId="39D83895" w:rsidR="00B71A63" w:rsidRDefault="00B71A63" w:rsidP="00EA1D7F">
      <w:pPr>
        <w:spacing w:after="120"/>
        <w:rPr>
          <w:rFonts w:cs="ArialMT"/>
          <w:color w:val="004631"/>
          <w:sz w:val="60"/>
          <w:szCs w:val="44"/>
        </w:rPr>
      </w:pPr>
      <w:bookmarkStart w:id="0" w:name="_GoBack"/>
      <w:bookmarkEnd w:id="0"/>
      <w:r>
        <w:rPr>
          <w:noProof/>
          <w:lang w:eastAsia="en-GB"/>
        </w:rPr>
        <w:drawing>
          <wp:inline distT="0" distB="0" distL="0" distR="0" wp14:anchorId="36FF8538" wp14:editId="16FF35FE">
            <wp:extent cx="5731510" cy="1515431"/>
            <wp:effectExtent l="0" t="0" r="2540" b="889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rt Document Header - Right to ed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515431"/>
                    </a:xfrm>
                    <a:prstGeom prst="rect">
                      <a:avLst/>
                    </a:prstGeom>
                  </pic:spPr>
                </pic:pic>
              </a:graphicData>
            </a:graphic>
          </wp:inline>
        </w:drawing>
      </w:r>
    </w:p>
    <w:p w14:paraId="373AB9A6" w14:textId="04DB9714" w:rsidR="00EA1D7F" w:rsidRPr="00C500CF" w:rsidRDefault="00EA1D7F" w:rsidP="00C500CF">
      <w:pPr>
        <w:pStyle w:val="Heading1"/>
      </w:pPr>
      <w:r w:rsidRPr="00C500CF">
        <w:t xml:space="preserve">Decision Notice </w:t>
      </w:r>
      <w:r w:rsidR="00D8664E">
        <w:t>059</w:t>
      </w:r>
      <w:r w:rsidRPr="00C500CF">
        <w:t>/</w:t>
      </w:r>
      <w:r w:rsidR="0010095B" w:rsidRPr="00C500CF">
        <w:t>20</w:t>
      </w:r>
      <w:r w:rsidR="00D3734F">
        <w:t>2</w:t>
      </w:r>
      <w:r w:rsidR="00E445B7">
        <w:t>4</w:t>
      </w:r>
    </w:p>
    <w:p w14:paraId="07CDCA9F" w14:textId="6054D1F7" w:rsidR="00FF2B87" w:rsidRDefault="00D66C5C" w:rsidP="00CD78F9">
      <w:pPr>
        <w:rPr>
          <w:b/>
          <w:color w:val="004631"/>
          <w:sz w:val="36"/>
          <w:szCs w:val="36"/>
        </w:rPr>
      </w:pPr>
      <w:r>
        <w:rPr>
          <w:b/>
          <w:color w:val="004631"/>
          <w:sz w:val="36"/>
          <w:szCs w:val="36"/>
        </w:rPr>
        <w:t xml:space="preserve">Information </w:t>
      </w:r>
      <w:r w:rsidR="00103DC0">
        <w:rPr>
          <w:b/>
          <w:color w:val="004631"/>
          <w:sz w:val="36"/>
          <w:szCs w:val="36"/>
        </w:rPr>
        <w:t>relating to an</w:t>
      </w:r>
      <w:r>
        <w:rPr>
          <w:b/>
          <w:color w:val="004631"/>
          <w:sz w:val="36"/>
          <w:szCs w:val="36"/>
        </w:rPr>
        <w:t xml:space="preserve"> email</w:t>
      </w:r>
      <w:r w:rsidR="00103DC0">
        <w:rPr>
          <w:b/>
          <w:color w:val="004631"/>
          <w:sz w:val="36"/>
          <w:szCs w:val="36"/>
        </w:rPr>
        <w:t xml:space="preserve"> sent by a specified employee</w:t>
      </w:r>
    </w:p>
    <w:p w14:paraId="51678697" w14:textId="07F36464" w:rsidR="00B71A63" w:rsidRPr="00B71A63" w:rsidRDefault="00CD78F9" w:rsidP="00CD78F9">
      <w:pPr>
        <w:rPr>
          <w:b/>
          <w:color w:val="004631"/>
          <w:sz w:val="28"/>
        </w:rPr>
      </w:pPr>
      <w:r>
        <w:rPr>
          <w:b/>
          <w:color w:val="004631"/>
          <w:sz w:val="28"/>
        </w:rPr>
        <w:br/>
      </w:r>
      <w:r w:rsidR="00D3734F">
        <w:rPr>
          <w:b/>
          <w:color w:val="004631"/>
          <w:sz w:val="28"/>
        </w:rPr>
        <w:t>A</w:t>
      </w:r>
      <w:r w:rsidR="00B71A63">
        <w:rPr>
          <w:b/>
          <w:color w:val="004631"/>
          <w:sz w:val="28"/>
        </w:rPr>
        <w:t>uthority</w:t>
      </w:r>
      <w:r w:rsidR="00B71A63" w:rsidRPr="00B71A63">
        <w:rPr>
          <w:b/>
          <w:color w:val="004631"/>
          <w:sz w:val="28"/>
        </w:rPr>
        <w:t>:</w:t>
      </w:r>
      <w:r w:rsidR="00E65D7C">
        <w:rPr>
          <w:b/>
          <w:color w:val="004631"/>
          <w:sz w:val="28"/>
        </w:rPr>
        <w:t xml:space="preserve"> </w:t>
      </w:r>
      <w:r w:rsidR="00D66C5C">
        <w:rPr>
          <w:b/>
          <w:color w:val="004631"/>
          <w:sz w:val="28"/>
        </w:rPr>
        <w:t>Ayrshire and Arran</w:t>
      </w:r>
      <w:r w:rsidR="00790906">
        <w:rPr>
          <w:b/>
          <w:color w:val="004631"/>
          <w:sz w:val="28"/>
        </w:rPr>
        <w:t xml:space="preserve"> Health Board</w:t>
      </w:r>
      <w:r>
        <w:rPr>
          <w:b/>
          <w:color w:val="004631"/>
          <w:sz w:val="28"/>
        </w:rPr>
        <w:br/>
      </w:r>
      <w:r w:rsidR="00B71A63" w:rsidRPr="00B71A63">
        <w:rPr>
          <w:b/>
          <w:color w:val="004631"/>
          <w:sz w:val="28"/>
        </w:rPr>
        <w:t>Case Ref:</w:t>
      </w:r>
      <w:r w:rsidR="00E65D7C">
        <w:rPr>
          <w:b/>
          <w:color w:val="004631"/>
          <w:sz w:val="28"/>
        </w:rPr>
        <w:t xml:space="preserve"> </w:t>
      </w:r>
      <w:r w:rsidR="00D66C5C">
        <w:rPr>
          <w:b/>
          <w:color w:val="004631"/>
          <w:sz w:val="28"/>
        </w:rPr>
        <w:t>202200807</w:t>
      </w:r>
      <w:r>
        <w:rPr>
          <w:b/>
          <w:color w:val="004631"/>
          <w:sz w:val="28"/>
        </w:rPr>
        <w:br/>
      </w:r>
      <w:r w:rsidR="00B71A63" w:rsidRPr="00B71A63">
        <w:rPr>
          <w:b/>
          <w:color w:val="004631"/>
          <w:sz w:val="28"/>
        </w:rPr>
        <w:br/>
      </w:r>
    </w:p>
    <w:p w14:paraId="3C5609EC" w14:textId="29907EBA" w:rsidR="00EA1D7F" w:rsidRDefault="00EA1D7F" w:rsidP="00C500CF">
      <w:pPr>
        <w:pStyle w:val="Heading2"/>
      </w:pPr>
      <w:r w:rsidRPr="00B71A63">
        <w:t>Summary</w:t>
      </w:r>
    </w:p>
    <w:p w14:paraId="00A6600C" w14:textId="0E292482" w:rsidR="00CD78F9" w:rsidRPr="00190C13" w:rsidRDefault="00DF6393" w:rsidP="00CD78F9">
      <w:pPr>
        <w:spacing w:before="240"/>
        <w:rPr>
          <w:color w:val="auto"/>
        </w:rPr>
      </w:pPr>
      <w:r>
        <w:t xml:space="preserve">The </w:t>
      </w:r>
      <w:r w:rsidR="00470CB9">
        <w:t xml:space="preserve">Applicant asked the </w:t>
      </w:r>
      <w:r>
        <w:t xml:space="preserve">Authority </w:t>
      </w:r>
      <w:r w:rsidR="00CD78F9">
        <w:t xml:space="preserve">for </w:t>
      </w:r>
      <w:bookmarkStart w:id="1" w:name="_Hlk140669020"/>
      <w:r w:rsidR="00A018D1">
        <w:t xml:space="preserve">information </w:t>
      </w:r>
      <w:bookmarkEnd w:id="1"/>
      <w:r w:rsidR="006335B9">
        <w:t xml:space="preserve">relating to </w:t>
      </w:r>
      <w:r w:rsidR="00D66C5C">
        <w:t>an email</w:t>
      </w:r>
      <w:r w:rsidR="000147BF">
        <w:t xml:space="preserve"> sent by one of its employees</w:t>
      </w:r>
      <w:r w:rsidR="00E55BDE">
        <w:t>.</w:t>
      </w:r>
      <w:r w:rsidR="00190C13">
        <w:t xml:space="preserve">  </w:t>
      </w:r>
      <w:r w:rsidR="00A018D1" w:rsidRPr="00A018D1">
        <w:t xml:space="preserve">The Authority </w:t>
      </w:r>
      <w:r w:rsidR="00A018D1">
        <w:t>told</w:t>
      </w:r>
      <w:r w:rsidR="00A018D1" w:rsidRPr="00A018D1">
        <w:t xml:space="preserve"> the Applicant that it did not hold </w:t>
      </w:r>
      <w:r w:rsidR="00D66C5C">
        <w:t xml:space="preserve">the </w:t>
      </w:r>
      <w:r w:rsidR="00A018D1" w:rsidRPr="00A018D1">
        <w:t>information</w:t>
      </w:r>
      <w:r w:rsidR="00E55BDE">
        <w:t xml:space="preserve"> requested</w:t>
      </w:r>
      <w:r w:rsidR="00A018D1" w:rsidRPr="00A018D1">
        <w:t xml:space="preserve">. </w:t>
      </w:r>
      <w:r w:rsidR="007B5DE7">
        <w:t xml:space="preserve"> </w:t>
      </w:r>
      <w:r w:rsidR="00A018D1" w:rsidRPr="00A018D1">
        <w:t>The Commissioner investigated and was satisfied that the Authority did not hold the information requested.</w:t>
      </w:r>
    </w:p>
    <w:p w14:paraId="185AD069" w14:textId="77777777" w:rsidR="00B71A63" w:rsidRDefault="00B71A63" w:rsidP="00EA1D7F">
      <w:pPr>
        <w:spacing w:before="240"/>
      </w:pPr>
    </w:p>
    <w:p w14:paraId="7F656E3F" w14:textId="77777777" w:rsidR="00EA1D7F" w:rsidRPr="00B71A63" w:rsidRDefault="00EA1D7F" w:rsidP="00C500CF">
      <w:pPr>
        <w:pStyle w:val="Heading2"/>
      </w:pPr>
      <w:r w:rsidRPr="00B71A63">
        <w:t>Relevant statutory provisions</w:t>
      </w:r>
    </w:p>
    <w:p w14:paraId="466DFF9E" w14:textId="256E3509" w:rsidR="00CA72BD" w:rsidRDefault="00CA72BD" w:rsidP="00CA72BD">
      <w:r w:rsidRPr="006472A2">
        <w:t xml:space="preserve">Freedom of Information (Scotland) Act 2002 (FOISA) sections </w:t>
      </w:r>
      <w:r w:rsidR="000C5F23" w:rsidRPr="006472A2">
        <w:t>1(1), (2)</w:t>
      </w:r>
      <w:r w:rsidR="00F11C23">
        <w:t xml:space="preserve">, (4) </w:t>
      </w:r>
      <w:r w:rsidR="000C5F23" w:rsidRPr="006472A2">
        <w:t>and (6) (General entitlement);</w:t>
      </w:r>
      <w:r w:rsidR="005563EB">
        <w:t xml:space="preserve"> 17(1) (</w:t>
      </w:r>
      <w:r w:rsidR="000430E8">
        <w:t>Notice that information is not held);</w:t>
      </w:r>
      <w:r w:rsidR="000C5F23" w:rsidRPr="006472A2">
        <w:t xml:space="preserve"> 47(1) and (2) (Application for decision by Commissioner)</w:t>
      </w:r>
    </w:p>
    <w:p w14:paraId="54ECF2F6" w14:textId="57F57D53" w:rsidR="00CA72BD" w:rsidRDefault="00CA72BD" w:rsidP="00CA72BD">
      <w:r>
        <w:t>The full text of each of the statutory provisions cited above is reproduced in Appendix 1 to this decision. The Appendix forms part of this decision.</w:t>
      </w:r>
    </w:p>
    <w:p w14:paraId="074C0E63" w14:textId="57F57D53" w:rsidR="00B71A63" w:rsidRDefault="00B71A63" w:rsidP="00EA1D7F"/>
    <w:p w14:paraId="5048C199" w14:textId="77777777" w:rsidR="00EA1D7F" w:rsidRPr="00B71A63" w:rsidRDefault="00EA1D7F" w:rsidP="00C500CF">
      <w:pPr>
        <w:pStyle w:val="Heading2"/>
      </w:pPr>
      <w:r w:rsidRPr="00B71A63">
        <w:t>Background</w:t>
      </w:r>
    </w:p>
    <w:p w14:paraId="2A8869E8" w14:textId="363BC312" w:rsidR="00D66C5C" w:rsidRDefault="00CA72BD" w:rsidP="007B5DE7">
      <w:pPr>
        <w:pStyle w:val="ListParagraph"/>
      </w:pPr>
      <w:r>
        <w:t xml:space="preserve">On </w:t>
      </w:r>
      <w:r w:rsidR="00D66C5C">
        <w:t xml:space="preserve">12 </w:t>
      </w:r>
      <w:r w:rsidR="007B5DE7">
        <w:t>October</w:t>
      </w:r>
      <w:r w:rsidR="00B558A1">
        <w:t xml:space="preserve"> </w:t>
      </w:r>
      <w:r w:rsidR="00F53BEF">
        <w:t>202</w:t>
      </w:r>
      <w:r w:rsidR="007B5DE7">
        <w:t>1</w:t>
      </w:r>
      <w:r>
        <w:t>, the Applicant</w:t>
      </w:r>
      <w:r w:rsidR="00F53BEF">
        <w:t xml:space="preserve"> </w:t>
      </w:r>
      <w:r>
        <w:t xml:space="preserve">made a request for information to </w:t>
      </w:r>
      <w:r w:rsidR="00DF6393">
        <w:t>the Authority</w:t>
      </w:r>
      <w:r>
        <w:t>.</w:t>
      </w:r>
      <w:r w:rsidR="007E675F">
        <w:t xml:space="preserve">  </w:t>
      </w:r>
      <w:r w:rsidR="00337C6C">
        <w:t>The Applicant</w:t>
      </w:r>
      <w:r w:rsidR="00907FF5">
        <w:t xml:space="preserve"> </w:t>
      </w:r>
      <w:r w:rsidR="005762AA">
        <w:t>asked for</w:t>
      </w:r>
      <w:r w:rsidR="00337C6C">
        <w:t xml:space="preserve"> the </w:t>
      </w:r>
      <w:r w:rsidR="00D66C5C">
        <w:t xml:space="preserve">information </w:t>
      </w:r>
      <w:r w:rsidR="00337C6C">
        <w:t xml:space="preserve">relating to </w:t>
      </w:r>
      <w:r w:rsidR="00D66C5C">
        <w:t>an email</w:t>
      </w:r>
      <w:r w:rsidR="00337C6C">
        <w:t xml:space="preserve"> sent on 8 January 2020 by an employee of the Authority</w:t>
      </w:r>
      <w:r w:rsidR="00772DD7">
        <w:t xml:space="preserve">. </w:t>
      </w:r>
      <w:r w:rsidR="006904FB">
        <w:t xml:space="preserve"> </w:t>
      </w:r>
      <w:r w:rsidR="00772DD7">
        <w:t>Specifically, the Applicant sought answers to</w:t>
      </w:r>
      <w:r w:rsidR="00A5031E">
        <w:t xml:space="preserve"> the following</w:t>
      </w:r>
      <w:r w:rsidR="00772DD7">
        <w:t xml:space="preserve"> specific questions arising from</w:t>
      </w:r>
      <w:r w:rsidR="00967888">
        <w:t xml:space="preserve"> the content of th</w:t>
      </w:r>
      <w:r w:rsidR="00083124">
        <w:t>e</w:t>
      </w:r>
      <w:r w:rsidR="00772DD7">
        <w:t xml:space="preserve"> email:</w:t>
      </w:r>
    </w:p>
    <w:p w14:paraId="2F2A2FFA" w14:textId="6264D096" w:rsidR="00D66C5C" w:rsidRDefault="00D66C5C" w:rsidP="008332A8">
      <w:pPr>
        <w:ind w:left="1134" w:hanging="567"/>
      </w:pPr>
      <w:r>
        <w:t>(1)</w:t>
      </w:r>
      <w:r>
        <w:tab/>
      </w:r>
      <w:r w:rsidR="00772DD7">
        <w:t>The email</w:t>
      </w:r>
      <w:r>
        <w:t xml:space="preserve"> states that "I asked about the removal of the other garments...": what positions, departments and organisation within NHS Scotland did the author of the above email contact to ask "about the removal"?</w:t>
      </w:r>
    </w:p>
    <w:p w14:paraId="007F61A4" w14:textId="50A2EB13" w:rsidR="00D66C5C" w:rsidRDefault="00D66C5C" w:rsidP="008332A8">
      <w:pPr>
        <w:ind w:left="1134" w:hanging="567"/>
      </w:pPr>
      <w:r>
        <w:lastRenderedPageBreak/>
        <w:t>(2)</w:t>
      </w:r>
      <w:r>
        <w:tab/>
      </w:r>
      <w:r w:rsidR="00772DD7">
        <w:t xml:space="preserve">The email </w:t>
      </w:r>
      <w:r>
        <w:t xml:space="preserve">states that "I asked about the removal of the other garments...": what method did the author of the above email use (e.g. email, telephone, meeting, text message, letter, etc.)? </w:t>
      </w:r>
    </w:p>
    <w:p w14:paraId="31D17F8F" w14:textId="3178CEC6" w:rsidR="00D66C5C" w:rsidRDefault="00D66C5C" w:rsidP="008332A8">
      <w:pPr>
        <w:ind w:left="1134" w:hanging="567"/>
      </w:pPr>
      <w:r>
        <w:t>(3)</w:t>
      </w:r>
      <w:r>
        <w:tab/>
      </w:r>
      <w:r w:rsidR="00772DD7">
        <w:t>The email</w:t>
      </w:r>
      <w:r>
        <w:t xml:space="preserve"> states that "they stated it </w:t>
      </w:r>
      <w:r w:rsidR="00772DD7">
        <w:t>w</w:t>
      </w:r>
      <w:r>
        <w:t>ould be in Dec...": what official position, department and organisation within NHS Scotland is "they"?</w:t>
      </w:r>
    </w:p>
    <w:p w14:paraId="4D176685" w14:textId="00DAA24E" w:rsidR="00D66C5C" w:rsidRDefault="00D66C5C" w:rsidP="008332A8">
      <w:pPr>
        <w:ind w:left="1134" w:hanging="567"/>
      </w:pPr>
      <w:r>
        <w:t>(4)</w:t>
      </w:r>
      <w:r>
        <w:tab/>
      </w:r>
      <w:r w:rsidR="00772DD7">
        <w:t>The e</w:t>
      </w:r>
      <w:r w:rsidR="00103DC0">
        <w:t>mail s</w:t>
      </w:r>
      <w:r>
        <w:t>tates that "I asked about the removal of the other garments...": does the "other garments" refer to "garments" produced by (i) Vanilla Blush or (ii) Vanilla Blush and other company products?</w:t>
      </w:r>
    </w:p>
    <w:p w14:paraId="08607FAD" w14:textId="5E914947" w:rsidR="00D66C5C" w:rsidRDefault="00D66C5C" w:rsidP="008332A8">
      <w:pPr>
        <w:ind w:left="1134" w:hanging="567"/>
      </w:pPr>
      <w:r>
        <w:t>(5)</w:t>
      </w:r>
      <w:r>
        <w:tab/>
      </w:r>
      <w:r w:rsidR="00103DC0">
        <w:t xml:space="preserve">The email </w:t>
      </w:r>
      <w:r>
        <w:t>states that "I asked about the removal of the other garments...": list the garments to which this refers.</w:t>
      </w:r>
    </w:p>
    <w:p w14:paraId="20379CE6" w14:textId="03014000" w:rsidR="007B5DE7" w:rsidRDefault="00DF6393" w:rsidP="007B5DE7">
      <w:pPr>
        <w:pStyle w:val="ListParagraph"/>
      </w:pPr>
      <w:r>
        <w:t xml:space="preserve">The Authority </w:t>
      </w:r>
      <w:r w:rsidR="00CA72BD">
        <w:t xml:space="preserve">responded on </w:t>
      </w:r>
      <w:r w:rsidR="00D66C5C">
        <w:t>31 December</w:t>
      </w:r>
      <w:r w:rsidR="007B5DE7">
        <w:t xml:space="preserve"> 202</w:t>
      </w:r>
      <w:r w:rsidR="00BD0286">
        <w:t>1</w:t>
      </w:r>
      <w:r w:rsidR="0098117A">
        <w:t xml:space="preserve"> with a notice, under section 17(1) of FOISA, that it did not hold the information requested.</w:t>
      </w:r>
      <w:r w:rsidR="00B558A1">
        <w:t xml:space="preserve">  </w:t>
      </w:r>
      <w:r w:rsidR="00535097">
        <w:t>The Authority explained tha</w:t>
      </w:r>
      <w:r w:rsidR="00782748">
        <w:t xml:space="preserve">t it had already disclosed all of the correspondence it held relating to the email the Applicant had referred to in his request in response to previous information requests and that it held no further correspondence that would enable it to answer the questions asked by the Applicant. </w:t>
      </w:r>
      <w:r w:rsidR="00A70FBC">
        <w:t xml:space="preserve">The Authority advised the Applicant that another public authority may hold the </w:t>
      </w:r>
      <w:r w:rsidR="005E7B58">
        <w:t>i</w:t>
      </w:r>
      <w:r w:rsidR="00A70FBC">
        <w:t>nformation</w:t>
      </w:r>
      <w:r w:rsidR="005E7B58">
        <w:t xml:space="preserve"> requested</w:t>
      </w:r>
      <w:r w:rsidR="00A70FBC">
        <w:t xml:space="preserve"> and provided him with </w:t>
      </w:r>
      <w:r w:rsidR="00967888">
        <w:t>its</w:t>
      </w:r>
      <w:r w:rsidR="0098117A">
        <w:t xml:space="preserve"> </w:t>
      </w:r>
      <w:r w:rsidR="00A70FBC">
        <w:t>contact details</w:t>
      </w:r>
      <w:r w:rsidR="0098117A">
        <w:t>.</w:t>
      </w:r>
    </w:p>
    <w:p w14:paraId="2F3D4780" w14:textId="6200EC95" w:rsidR="00907FF5" w:rsidRDefault="007B5DE7" w:rsidP="00CA72BD">
      <w:pPr>
        <w:pStyle w:val="ListParagraph"/>
      </w:pPr>
      <w:r>
        <w:t xml:space="preserve">On </w:t>
      </w:r>
      <w:r w:rsidR="005D43F8">
        <w:t>20 January 2022</w:t>
      </w:r>
      <w:r w:rsidR="00626E92">
        <w:t xml:space="preserve">, </w:t>
      </w:r>
      <w:r w:rsidR="00CA72BD">
        <w:t xml:space="preserve">the Applicant wrote to </w:t>
      </w:r>
      <w:r w:rsidR="00DF6393">
        <w:t xml:space="preserve">the Authority </w:t>
      </w:r>
      <w:r w:rsidR="00CA72BD">
        <w:t>requesting a review of its</w:t>
      </w:r>
      <w:r w:rsidR="00075E03">
        <w:t xml:space="preserve"> </w:t>
      </w:r>
      <w:r w:rsidR="00CA72BD">
        <w:t>decision</w:t>
      </w:r>
      <w:r w:rsidR="00D766E7">
        <w:t xml:space="preserve">.  The Applicant stated that </w:t>
      </w:r>
      <w:r w:rsidR="00907FF5">
        <w:t>he was</w:t>
      </w:r>
      <w:r w:rsidR="00D766E7">
        <w:t xml:space="preserve"> dissatisfied with the decision because </w:t>
      </w:r>
      <w:r w:rsidR="00907FF5">
        <w:t xml:space="preserve">he </w:t>
      </w:r>
      <w:r w:rsidR="00D66C5C">
        <w:t xml:space="preserve">considered </w:t>
      </w:r>
      <w:r w:rsidR="00626E92">
        <w:t xml:space="preserve">the information </w:t>
      </w:r>
      <w:r w:rsidR="00CD400C">
        <w:t xml:space="preserve">requested </w:t>
      </w:r>
      <w:r w:rsidR="00DF65F0">
        <w:t>should be</w:t>
      </w:r>
      <w:r w:rsidR="00626E92">
        <w:t xml:space="preserve"> held by</w:t>
      </w:r>
      <w:r w:rsidR="008779AC">
        <w:t xml:space="preserve"> the Authority</w:t>
      </w:r>
      <w:r w:rsidR="0098117A">
        <w:t xml:space="preserve">, particularly since the email he referred to in his request was sent by an employee of the Authority </w:t>
      </w:r>
      <w:r w:rsidR="003E7AE6">
        <w:t>when</w:t>
      </w:r>
      <w:r w:rsidR="0098117A">
        <w:t xml:space="preserve"> acting as </w:t>
      </w:r>
      <w:r w:rsidR="00967888">
        <w:t>a</w:t>
      </w:r>
      <w:r w:rsidR="0098117A">
        <w:t xml:space="preserve"> representative</w:t>
      </w:r>
      <w:r w:rsidR="00967888">
        <w:t xml:space="preserve"> of the Authority.</w:t>
      </w:r>
    </w:p>
    <w:p w14:paraId="69262C76" w14:textId="06CE422D" w:rsidR="007B5DE7" w:rsidRDefault="00075E03" w:rsidP="00CA72BD">
      <w:pPr>
        <w:pStyle w:val="ListParagraph"/>
      </w:pPr>
      <w:r>
        <w:t>The Authority</w:t>
      </w:r>
      <w:r w:rsidR="00CA72BD">
        <w:t xml:space="preserve"> notified the Applicant of the outcome of its</w:t>
      </w:r>
      <w:r>
        <w:t xml:space="preserve"> </w:t>
      </w:r>
      <w:r w:rsidR="00CA72BD">
        <w:t xml:space="preserve">review on </w:t>
      </w:r>
      <w:r w:rsidR="00907FF5">
        <w:t>25 January</w:t>
      </w:r>
      <w:r w:rsidR="00626E92">
        <w:t xml:space="preserve"> 2022</w:t>
      </w:r>
      <w:r w:rsidR="0098117A">
        <w:t>, uphol</w:t>
      </w:r>
      <w:r w:rsidR="003E7AE6">
        <w:t xml:space="preserve">ding </w:t>
      </w:r>
      <w:r w:rsidR="00580F65">
        <w:t xml:space="preserve">its </w:t>
      </w:r>
      <w:r w:rsidR="00626E92">
        <w:t xml:space="preserve">original </w:t>
      </w:r>
      <w:r w:rsidR="00BD0286">
        <w:t xml:space="preserve">response </w:t>
      </w:r>
      <w:r w:rsidR="00626E92">
        <w:t>without modification</w:t>
      </w:r>
      <w:r w:rsidR="003E7AE6">
        <w:t>.</w:t>
      </w:r>
      <w:r w:rsidR="00DD36BE">
        <w:t xml:space="preserve">  The Authority</w:t>
      </w:r>
      <w:r w:rsidR="008C7BFD">
        <w:t xml:space="preserve"> also referred to the following guidance</w:t>
      </w:r>
      <w:r w:rsidR="008C7BFD">
        <w:rPr>
          <w:rStyle w:val="FootnoteReference"/>
        </w:rPr>
        <w:footnoteReference w:id="1"/>
      </w:r>
      <w:r w:rsidR="008C7BFD">
        <w:t xml:space="preserve"> from the Commissioner: “Remember that FOI only applies to recorded information.  It won’t, for example, cover someone’s thoughts or opinions, unless they’ve been recorded in some way.”</w:t>
      </w:r>
    </w:p>
    <w:p w14:paraId="14AC066A" w14:textId="5E0009D4" w:rsidR="00907FF5" w:rsidRDefault="00CA72BD" w:rsidP="00CA72BD">
      <w:pPr>
        <w:pStyle w:val="ListParagraph"/>
      </w:pPr>
      <w:r w:rsidRPr="00363361">
        <w:t xml:space="preserve">On </w:t>
      </w:r>
      <w:r w:rsidR="00907FF5">
        <w:t>20 July</w:t>
      </w:r>
      <w:r w:rsidR="00626E92">
        <w:t xml:space="preserve"> 2022,</w:t>
      </w:r>
      <w:r w:rsidRPr="00363361">
        <w:t xml:space="preserve"> </w:t>
      </w:r>
      <w:r w:rsidR="00075E03">
        <w:t xml:space="preserve">the Applicant </w:t>
      </w:r>
      <w:r w:rsidRPr="00363361">
        <w:t>wrote to the Commissioner, applying for a decision in terms of section 47(1) of FOISA.</w:t>
      </w:r>
      <w:r w:rsidR="00626E92">
        <w:t xml:space="preserve">  </w:t>
      </w:r>
      <w:r>
        <w:t xml:space="preserve">The Applicant stated </w:t>
      </w:r>
      <w:r w:rsidR="00580F65">
        <w:t xml:space="preserve">that </w:t>
      </w:r>
      <w:r w:rsidR="00907FF5">
        <w:t>he was</w:t>
      </w:r>
      <w:r>
        <w:t xml:space="preserve"> dissatisfied with the outcome of </w:t>
      </w:r>
      <w:r w:rsidR="00075E03">
        <w:t>the Authority’s</w:t>
      </w:r>
      <w:r>
        <w:t xml:space="preserve"> review because </w:t>
      </w:r>
      <w:r w:rsidR="00907FF5">
        <w:t>he considered that</w:t>
      </w:r>
      <w:r w:rsidR="00225449">
        <w:t xml:space="preserve"> </w:t>
      </w:r>
      <w:r w:rsidR="003E7AE6">
        <w:t xml:space="preserve">if </w:t>
      </w:r>
      <w:r w:rsidR="00967888">
        <w:t>the Authority</w:t>
      </w:r>
      <w:r w:rsidR="003E7AE6">
        <w:t xml:space="preserve"> had followed its procedures correctly</w:t>
      </w:r>
      <w:r w:rsidR="00225449">
        <w:t>,</w:t>
      </w:r>
      <w:r w:rsidR="003E7AE6">
        <w:t xml:space="preserve"> it would hold a record of th</w:t>
      </w:r>
      <w:r w:rsidR="00225449">
        <w:t xml:space="preserve">e information requested, as the email he had referred to in his request </w:t>
      </w:r>
      <w:r w:rsidR="003E7AE6">
        <w:t xml:space="preserve">was sent by an employee of the Authority when acting as </w:t>
      </w:r>
      <w:r w:rsidR="00967888">
        <w:t>a</w:t>
      </w:r>
      <w:r w:rsidR="003E7AE6">
        <w:t xml:space="preserve"> representative</w:t>
      </w:r>
      <w:r w:rsidR="00967888">
        <w:t xml:space="preserve"> of the Authority.</w:t>
      </w:r>
    </w:p>
    <w:p w14:paraId="5D1A0860" w14:textId="77777777" w:rsidR="00B71A63" w:rsidRDefault="00B71A63" w:rsidP="00B71A63"/>
    <w:p w14:paraId="49705CE7" w14:textId="77777777" w:rsidR="00EA1D7F" w:rsidRPr="00B71A63" w:rsidRDefault="00EA1D7F" w:rsidP="00C500CF">
      <w:pPr>
        <w:pStyle w:val="Heading2"/>
      </w:pPr>
      <w:r w:rsidRPr="00B71A63">
        <w:t>Investigation</w:t>
      </w:r>
    </w:p>
    <w:p w14:paraId="161FF93C" w14:textId="20194976" w:rsidR="00F22DE4" w:rsidRDefault="00D766E7" w:rsidP="00F22DE4">
      <w:pPr>
        <w:pStyle w:val="ListParagraph"/>
      </w:pPr>
      <w:r>
        <w:t xml:space="preserve">The Commissioner </w:t>
      </w:r>
      <w:r w:rsidR="00075E03">
        <w:t>determined</w:t>
      </w:r>
      <w:r>
        <w:t xml:space="preserve"> that the application complied with section 47(2) of FOISA and that he had the power to carry out an investigation. </w:t>
      </w:r>
    </w:p>
    <w:p w14:paraId="63A92C57" w14:textId="0A59C42A" w:rsidR="00F22DE4" w:rsidRDefault="00F22DE4" w:rsidP="00F22DE4">
      <w:pPr>
        <w:pStyle w:val="ListParagraph"/>
      </w:pPr>
      <w:r>
        <w:t>On</w:t>
      </w:r>
      <w:r w:rsidR="004E3F34">
        <w:t xml:space="preserve"> </w:t>
      </w:r>
      <w:r w:rsidR="00907FF5">
        <w:t>9 August</w:t>
      </w:r>
      <w:r w:rsidR="004E3F34">
        <w:t xml:space="preserve"> 2022</w:t>
      </w:r>
      <w:r>
        <w:t xml:space="preserve">, </w:t>
      </w:r>
      <w:r w:rsidR="00075E03">
        <w:t xml:space="preserve">the Authority </w:t>
      </w:r>
      <w:r>
        <w:t>was</w:t>
      </w:r>
      <w:r w:rsidR="00B80392">
        <w:t xml:space="preserve"> </w:t>
      </w:r>
      <w:r>
        <w:t>notified in writing that the Applicant had made a valid application.</w:t>
      </w:r>
      <w:r w:rsidR="00075E03">
        <w:t xml:space="preserve">  The </w:t>
      </w:r>
      <w:r>
        <w:t>case was</w:t>
      </w:r>
      <w:r w:rsidR="004E3F34">
        <w:t xml:space="preserve"> subsequently </w:t>
      </w:r>
      <w:r>
        <w:t xml:space="preserve">allocated to an investigating officer. </w:t>
      </w:r>
    </w:p>
    <w:p w14:paraId="6C16F2A0" w14:textId="00261342" w:rsidR="00F22DE4" w:rsidRDefault="00F22DE4" w:rsidP="00F22DE4">
      <w:pPr>
        <w:pStyle w:val="ListParagraph"/>
      </w:pPr>
      <w:r w:rsidRPr="00B7255A">
        <w:t xml:space="preserve">Section 49(3)(a) of FOISA requires the Commissioner to give public authorities an opportunity to provide comments on an application. </w:t>
      </w:r>
      <w:r w:rsidR="00EA7C45">
        <w:t xml:space="preserve"> </w:t>
      </w:r>
      <w:r w:rsidR="00075E03">
        <w:t xml:space="preserve">The Authority </w:t>
      </w:r>
      <w:r w:rsidRPr="00B7255A">
        <w:t xml:space="preserve">was invited to comment </w:t>
      </w:r>
      <w:r w:rsidRPr="00B7255A">
        <w:lastRenderedPageBreak/>
        <w:t>on this application and to answer specific questions</w:t>
      </w:r>
      <w:r w:rsidR="00E55BDE">
        <w:t xml:space="preserve"> relating to why</w:t>
      </w:r>
      <w:r w:rsidR="00EA7C45">
        <w:t xml:space="preserve"> it was satisfied that</w:t>
      </w:r>
      <w:r w:rsidR="00E55BDE">
        <w:t xml:space="preserve"> it did not hold the</w:t>
      </w:r>
      <w:r w:rsidR="00EA7C45">
        <w:t xml:space="preserve"> information </w:t>
      </w:r>
      <w:r w:rsidR="00E55BDE">
        <w:t>requested.</w:t>
      </w:r>
    </w:p>
    <w:p w14:paraId="12FF11C6" w14:textId="77777777" w:rsidR="00B71A63" w:rsidRDefault="00B71A63" w:rsidP="00B71A63"/>
    <w:p w14:paraId="3367623A" w14:textId="77777777" w:rsidR="00EA1D7F" w:rsidRPr="00C500CF" w:rsidRDefault="00EA1D7F" w:rsidP="00C500CF">
      <w:pPr>
        <w:pStyle w:val="Heading2"/>
      </w:pPr>
      <w:r w:rsidRPr="00C500CF">
        <w:t>Commissioner’s analysis and findings</w:t>
      </w:r>
    </w:p>
    <w:p w14:paraId="203026A3" w14:textId="0E7F1BB9" w:rsidR="00EA1D7F" w:rsidRDefault="00075E03" w:rsidP="00EA1D7F">
      <w:pPr>
        <w:pStyle w:val="ListParagraph"/>
      </w:pPr>
      <w:r>
        <w:t xml:space="preserve">The Commissioner has considered all of the submissions made to him by the Applicant and the Authority.  </w:t>
      </w:r>
    </w:p>
    <w:p w14:paraId="7246ED57" w14:textId="56FDB204" w:rsidR="00EA1D7F" w:rsidRPr="002E6CDC" w:rsidRDefault="00EA1D7F" w:rsidP="00C500CF">
      <w:pPr>
        <w:pStyle w:val="Heading3"/>
      </w:pPr>
      <w:bookmarkStart w:id="2" w:name="_Hlk88553561"/>
      <w:r w:rsidRPr="002E6CDC">
        <w:t>Section</w:t>
      </w:r>
      <w:r w:rsidR="000430E8" w:rsidRPr="002E6CDC">
        <w:t xml:space="preserve"> 17(1) – Notice that information is not held</w:t>
      </w:r>
    </w:p>
    <w:p w14:paraId="1ECCF933" w14:textId="0F43DE3C" w:rsidR="000430E8" w:rsidRDefault="000430E8" w:rsidP="000430E8">
      <w:pPr>
        <w:pStyle w:val="ListParagraph"/>
      </w:pPr>
      <w:r w:rsidRPr="000430E8">
        <w:t xml:space="preserve">Section 1(1) of FOISA provides that a person who requests information from a Scottish public authority which holds it is entitled to be given that information by the authority, subject to qualifications which, by virtue of section 1(6) of FOISA, allow Scottish public authorities to withhold information or charge a fee for it. </w:t>
      </w:r>
      <w:r w:rsidR="00983344">
        <w:t xml:space="preserve"> </w:t>
      </w:r>
      <w:r w:rsidRPr="000430E8">
        <w:t>The qualifications contained in section 1(6) are not applicable in this case.</w:t>
      </w:r>
    </w:p>
    <w:p w14:paraId="06EF0D62" w14:textId="77777777" w:rsidR="000430E8" w:rsidRDefault="000430E8" w:rsidP="000430E8">
      <w:pPr>
        <w:pStyle w:val="ListParagraph"/>
      </w:pPr>
      <w:r w:rsidRPr="000430E8">
        <w:t>In terms of section 1(4) of FOISA, the information to be provided in response to a request under section 1(1) is that falling within the scope of the request and held by the authority at the time the request is received.  This is not necessarily to be equated with information an applicant believes the authority should hold. If no such information is held by the authority, section 17(1) of FOISA requires it to give the applicant notice in writing to that effect.</w:t>
      </w:r>
    </w:p>
    <w:p w14:paraId="7C1968CB" w14:textId="77777777" w:rsidR="0098117A" w:rsidRDefault="000430E8" w:rsidP="000430E8">
      <w:pPr>
        <w:pStyle w:val="ListParagraph"/>
      </w:pPr>
      <w:r w:rsidRPr="000430E8">
        <w:t xml:space="preserve">The standard of proof to determine whether a Scottish public authority holds information is the civil standard of the balance of probabilities. </w:t>
      </w:r>
      <w:r w:rsidR="00B74DFC">
        <w:t xml:space="preserve"> </w:t>
      </w:r>
      <w:r w:rsidRPr="000430E8">
        <w:t>In determining where the balance of probabilities lies, the Commissioner considers the scope, quality, thoroughness and results of the searches carried out by the public authority.</w:t>
      </w:r>
    </w:p>
    <w:p w14:paraId="01B6B206" w14:textId="4712735F" w:rsidR="000430E8" w:rsidRDefault="0098117A" w:rsidP="000430E8">
      <w:pPr>
        <w:pStyle w:val="ListParagraph"/>
      </w:pPr>
      <w:r>
        <w:t>The Commissioner</w:t>
      </w:r>
      <w:r w:rsidR="000430E8" w:rsidRPr="000430E8">
        <w:t xml:space="preserve"> also considers, where appropriate, any reason offered by the public authority to explain why it does not hold the information. </w:t>
      </w:r>
      <w:r w:rsidR="00B74DFC">
        <w:t xml:space="preserve"> </w:t>
      </w:r>
      <w:r w:rsidR="000430E8" w:rsidRPr="000430E8">
        <w:t xml:space="preserve">While it may be relevant as part of this exercise to explore expectations about what the </w:t>
      </w:r>
      <w:r w:rsidR="000430E8" w:rsidRPr="00C54587">
        <w:t>authority should hold, ultimately the Commissioner’s role is to determine what relevant recorded information is (or was, at the time the request was received) actually held by the authority.</w:t>
      </w:r>
    </w:p>
    <w:p w14:paraId="69A4011D" w14:textId="31860675" w:rsidR="008332A8" w:rsidRPr="006904FB" w:rsidRDefault="008332A8" w:rsidP="00B1328B">
      <w:pPr>
        <w:rPr>
          <w:i/>
        </w:rPr>
      </w:pPr>
      <w:r w:rsidRPr="006904FB">
        <w:rPr>
          <w:i/>
        </w:rPr>
        <w:t>The Authority’s submissions</w:t>
      </w:r>
    </w:p>
    <w:p w14:paraId="37D768D5" w14:textId="5822AF50" w:rsidR="000147BF" w:rsidRDefault="000147BF" w:rsidP="00D1085C">
      <w:pPr>
        <w:pStyle w:val="ListParagraph"/>
      </w:pPr>
      <w:r>
        <w:t xml:space="preserve">The Authority </w:t>
      </w:r>
      <w:r w:rsidR="00083124">
        <w:t xml:space="preserve">noted </w:t>
      </w:r>
      <w:r>
        <w:t>that the Applicant</w:t>
      </w:r>
      <w:r w:rsidR="00A40FA6">
        <w:t xml:space="preserve">’s information request regarded </w:t>
      </w:r>
      <w:r>
        <w:t xml:space="preserve">information relating to an email </w:t>
      </w:r>
      <w:r w:rsidR="00443117">
        <w:t xml:space="preserve">that </w:t>
      </w:r>
      <w:r>
        <w:t xml:space="preserve">it </w:t>
      </w:r>
      <w:r w:rsidR="00226070">
        <w:t xml:space="preserve">had previously </w:t>
      </w:r>
      <w:r>
        <w:t xml:space="preserve">provided to him in response to a </w:t>
      </w:r>
      <w:r w:rsidR="00226070">
        <w:t>different</w:t>
      </w:r>
      <w:r>
        <w:t xml:space="preserve"> information request.</w:t>
      </w:r>
      <w:r w:rsidR="00713EF8">
        <w:t xml:space="preserve"> </w:t>
      </w:r>
    </w:p>
    <w:p w14:paraId="68E78234" w14:textId="60CA0FF5" w:rsidR="00A40FA6" w:rsidRDefault="00A40FA6" w:rsidP="00A40FA6">
      <w:pPr>
        <w:pStyle w:val="ListParagraph"/>
      </w:pPr>
      <w:r>
        <w:t xml:space="preserve">The Authority explained that the Applicant had been trying to find out the process to get added to the stoma list and the information he </w:t>
      </w:r>
      <w:r w:rsidR="00A40C60">
        <w:t xml:space="preserve">had </w:t>
      </w:r>
      <w:r>
        <w:t>requested related to drug/appliance formulary for procurement.</w:t>
      </w:r>
    </w:p>
    <w:p w14:paraId="4B42E746" w14:textId="407C1B79" w:rsidR="00A40FA6" w:rsidRDefault="00A40FA6">
      <w:pPr>
        <w:pStyle w:val="ListParagraph"/>
      </w:pPr>
      <w:r>
        <w:t>The Authority stated that information in relation to the review process of formulary, including the membership of advisory groups and the addition and removal of products, is not held by the Authority.</w:t>
      </w:r>
    </w:p>
    <w:p w14:paraId="71B77E9B" w14:textId="5BDF686B" w:rsidR="00894477" w:rsidRDefault="005A02AE" w:rsidP="00D1085C">
      <w:pPr>
        <w:pStyle w:val="ListParagraph"/>
      </w:pPr>
      <w:r>
        <w:t xml:space="preserve">The Authority </w:t>
      </w:r>
      <w:r w:rsidR="00083124">
        <w:t xml:space="preserve">explained </w:t>
      </w:r>
      <w:r w:rsidR="00713EF8">
        <w:t>that stoma supplies were previously procured and added to the Scottish Drug Tariff but are now managed by NHS Scotland’s National Procurement Service, who maintain a list of those items which may be ordered by authorised prescribers on the appropriate lists of NHS Health Boards.</w:t>
      </w:r>
    </w:p>
    <w:p w14:paraId="45B34DB0" w14:textId="6B35DA4D" w:rsidR="00807751" w:rsidRDefault="000147BF" w:rsidP="00D1085C">
      <w:pPr>
        <w:pStyle w:val="ListParagraph"/>
      </w:pPr>
      <w:r>
        <w:t xml:space="preserve">The Authority noted that the email </w:t>
      </w:r>
      <w:r w:rsidR="00AB5434">
        <w:t>referred to in the Applicant’s information request</w:t>
      </w:r>
      <w:r>
        <w:t xml:space="preserve"> was sent by one of its employees, a stoma clinical nurse specialist,</w:t>
      </w:r>
      <w:r w:rsidR="00807751">
        <w:t xml:space="preserve"> </w:t>
      </w:r>
      <w:r w:rsidR="006335B9">
        <w:t>as part of their role as</w:t>
      </w:r>
      <w:r w:rsidR="00807751">
        <w:t xml:space="preserve"> the Authority’s representative on the Scottish Stoma Care Clinical Nurse Specialist Group.</w:t>
      </w:r>
    </w:p>
    <w:p w14:paraId="55E000B7" w14:textId="25B1FF4B" w:rsidR="00807751" w:rsidRDefault="00807751" w:rsidP="00D1085C">
      <w:pPr>
        <w:pStyle w:val="ListParagraph"/>
      </w:pPr>
      <w:r>
        <w:lastRenderedPageBreak/>
        <w:t xml:space="preserve">The Authority explained that this is a national group whose membership comprises stoma clinical nurse specialists from </w:t>
      </w:r>
      <w:r w:rsidR="006335B9">
        <w:t>each NHS Health Board in Scotland and that the group reports directly to the National Scottish Executive Nurse Director Group.</w:t>
      </w:r>
    </w:p>
    <w:p w14:paraId="426A8893" w14:textId="77777777" w:rsidR="006335B9" w:rsidRDefault="006335B9" w:rsidP="00D1085C">
      <w:pPr>
        <w:pStyle w:val="ListParagraph"/>
      </w:pPr>
      <w:r>
        <w:t>The Authority stated that both of those groups are national groups and it does not, for example, clerk meetings between those groups or hold the minutes of those meetings.</w:t>
      </w:r>
    </w:p>
    <w:p w14:paraId="2ABCFEAC" w14:textId="0DADEBE1" w:rsidR="006335B9" w:rsidRDefault="006335B9" w:rsidP="00D1085C">
      <w:pPr>
        <w:pStyle w:val="ListParagraph"/>
      </w:pPr>
      <w:r>
        <w:t>The Authority explained it would therefore not be expected to hold the information requested, although</w:t>
      </w:r>
      <w:r w:rsidR="00713EF8">
        <w:t xml:space="preserve"> </w:t>
      </w:r>
      <w:r>
        <w:t xml:space="preserve">it </w:t>
      </w:r>
      <w:r w:rsidR="003B544F">
        <w:t xml:space="preserve">noted it </w:t>
      </w:r>
      <w:r>
        <w:t xml:space="preserve">had previously provided </w:t>
      </w:r>
      <w:r w:rsidR="00713EF8">
        <w:t>to the Applicant, over a number of information requests, correspondence</w:t>
      </w:r>
      <w:r>
        <w:t xml:space="preserve"> </w:t>
      </w:r>
      <w:r w:rsidR="00F630DF">
        <w:t xml:space="preserve">it held </w:t>
      </w:r>
      <w:r>
        <w:t>from its representative on the Scottish Stoma Care Clinical Nurse Specialist Group</w:t>
      </w:r>
      <w:r w:rsidR="00713EF8">
        <w:t>.</w:t>
      </w:r>
    </w:p>
    <w:p w14:paraId="47A3A228" w14:textId="712582A7" w:rsidR="006335B9" w:rsidRDefault="006335B9" w:rsidP="00D1085C">
      <w:pPr>
        <w:pStyle w:val="ListParagraph"/>
      </w:pPr>
      <w:r>
        <w:t>The Authority stated that it held th</w:t>
      </w:r>
      <w:r w:rsidR="00226070">
        <w:t xml:space="preserve">at correspondence </w:t>
      </w:r>
      <w:r w:rsidR="00894477">
        <w:t xml:space="preserve">because </w:t>
      </w:r>
      <w:r w:rsidR="00713EF8">
        <w:t>its</w:t>
      </w:r>
      <w:r w:rsidR="00894477">
        <w:t xml:space="preserve"> representative on the Scottish Stoma Care Clinical Nurse Specialist Group had used their NHS work email (the most appropriate means of communicating with colleagues at other NHS Health Boards) when corresponding in that capacity</w:t>
      </w:r>
      <w:r w:rsidR="00226070">
        <w:t>.</w:t>
      </w:r>
    </w:p>
    <w:p w14:paraId="65F96463" w14:textId="2657D0AA" w:rsidR="001D4F53" w:rsidRPr="00F57A36" w:rsidRDefault="00226070" w:rsidP="00226070">
      <w:pPr>
        <w:pStyle w:val="ListParagraph"/>
      </w:pPr>
      <w:r w:rsidRPr="003E6804">
        <w:t>While the Authority had</w:t>
      </w:r>
      <w:r w:rsidR="003E6804">
        <w:t>, in response to an earlier information request,</w:t>
      </w:r>
      <w:r w:rsidRPr="003E6804">
        <w:t xml:space="preserve"> disclosed to the Applicant the email he referred to in his request, it</w:t>
      </w:r>
      <w:r w:rsidR="00667529" w:rsidRPr="003E6804">
        <w:t xml:space="preserve"> explained that</w:t>
      </w:r>
      <w:r w:rsidRPr="003E6804">
        <w:t>, in line with its Email Policy</w:t>
      </w:r>
      <w:r w:rsidR="00F57A36">
        <w:t xml:space="preserve"> &amp; Best Practice Guidance</w:t>
      </w:r>
      <w:r w:rsidRPr="003E6804">
        <w:t xml:space="preserve">, it was not required to retain </w:t>
      </w:r>
      <w:r w:rsidR="00A40FA6" w:rsidRPr="003E6804">
        <w:t xml:space="preserve">such </w:t>
      </w:r>
      <w:r w:rsidRPr="003E6804">
        <w:t xml:space="preserve">correspondence </w:t>
      </w:r>
      <w:r w:rsidR="00A40FA6" w:rsidRPr="003E6804">
        <w:t xml:space="preserve">as it was of </w:t>
      </w:r>
      <w:r w:rsidR="003E6804">
        <w:t>“</w:t>
      </w:r>
      <w:r w:rsidR="00A40FA6" w:rsidRPr="003E6804">
        <w:t>t</w:t>
      </w:r>
      <w:r w:rsidRPr="003E6804">
        <w:t>ransitory</w:t>
      </w:r>
      <w:r w:rsidR="003E6804">
        <w:t>”</w:t>
      </w:r>
      <w:r w:rsidRPr="003E6804">
        <w:t xml:space="preserve"> nature</w:t>
      </w:r>
      <w:r w:rsidR="006444DC">
        <w:t>.</w:t>
      </w:r>
      <w:r w:rsidR="001354C6" w:rsidRPr="003E6804">
        <w:t xml:space="preserve"> </w:t>
      </w:r>
      <w:r w:rsidR="006444DC">
        <w:t xml:space="preserve"> T</w:t>
      </w:r>
      <w:r w:rsidR="003E6804">
        <w:t xml:space="preserve">hat is, </w:t>
      </w:r>
      <w:r w:rsidR="003E6804" w:rsidRPr="003E6804">
        <w:t>“only needed for a short period of time and not required to document [the Authority’s] business”.</w:t>
      </w:r>
    </w:p>
    <w:p w14:paraId="73730501" w14:textId="7575A02B" w:rsidR="003E6804" w:rsidRPr="003E6804" w:rsidRDefault="003E6804" w:rsidP="00226070">
      <w:pPr>
        <w:pStyle w:val="ListParagraph"/>
      </w:pPr>
      <w:r w:rsidRPr="00F57A36">
        <w:t xml:space="preserve">The Authority stated that the email in question was not connected to its functions, but was, as rehearsed earlier, sent by one of its employees </w:t>
      </w:r>
      <w:r>
        <w:t>in</w:t>
      </w:r>
      <w:r w:rsidRPr="00F57A36">
        <w:t xml:space="preserve"> their capacity as a representative on a national group.</w:t>
      </w:r>
    </w:p>
    <w:p w14:paraId="1A4FD799" w14:textId="425DF5E2" w:rsidR="00226070" w:rsidRDefault="00F630DF" w:rsidP="00226070">
      <w:pPr>
        <w:pStyle w:val="ListParagraph"/>
      </w:pPr>
      <w:r>
        <w:t>T</w:t>
      </w:r>
      <w:r w:rsidR="00226070">
        <w:t>he</w:t>
      </w:r>
      <w:r w:rsidR="003E6804">
        <w:t xml:space="preserve"> Authority noted that it had advised the Applicant that the </w:t>
      </w:r>
      <w:r w:rsidR="00226070">
        <w:t>information</w:t>
      </w:r>
      <w:r w:rsidR="003E6804">
        <w:t xml:space="preserve"> he had</w:t>
      </w:r>
      <w:r w:rsidR="00226070">
        <w:t xml:space="preserve"> requested may instead be held by another public authority</w:t>
      </w:r>
      <w:r w:rsidR="003E6804">
        <w:t>.</w:t>
      </w:r>
    </w:p>
    <w:p w14:paraId="04BDBC40" w14:textId="2793A77D" w:rsidR="00E445B7" w:rsidRDefault="00E445B7" w:rsidP="00226070">
      <w:pPr>
        <w:pStyle w:val="ListParagraph"/>
      </w:pPr>
      <w:r>
        <w:t>The Authority provided evidence of the previous information requests made by the Applicant</w:t>
      </w:r>
      <w:r w:rsidR="00A40C60">
        <w:t xml:space="preserve"> and </w:t>
      </w:r>
      <w:r>
        <w:t xml:space="preserve">explained that, in the circumstances, it did not consider it necessary to complete a search form for this request for the reasons </w:t>
      </w:r>
      <w:r w:rsidR="006444DC">
        <w:t>explained earlier</w:t>
      </w:r>
      <w:r>
        <w:t xml:space="preserve"> and because it had provided all of the information it held in response to the Applicant’s previous requests</w:t>
      </w:r>
      <w:r w:rsidR="00720AEB">
        <w:t xml:space="preserve"> for information.</w:t>
      </w:r>
    </w:p>
    <w:p w14:paraId="0A0F4899" w14:textId="224A6F74" w:rsidR="00226070" w:rsidRDefault="00226070" w:rsidP="00226070">
      <w:pPr>
        <w:pStyle w:val="ListParagraph"/>
      </w:pPr>
      <w:r>
        <w:t>In summary, the Authority was satisfied that the requested information (i.e. information relating to the email it previously disclosed to the Applicant) was not held</w:t>
      </w:r>
      <w:r w:rsidR="00083124">
        <w:t>.</w:t>
      </w:r>
    </w:p>
    <w:p w14:paraId="7A27B9CC" w14:textId="1526A775" w:rsidR="003E7AE6" w:rsidRPr="00C559EF" w:rsidRDefault="003E7AE6" w:rsidP="003E7AE6">
      <w:pPr>
        <w:rPr>
          <w:i/>
        </w:rPr>
      </w:pPr>
      <w:r w:rsidRPr="00C559EF">
        <w:rPr>
          <w:i/>
        </w:rPr>
        <w:t>The Applicant’s submissions</w:t>
      </w:r>
    </w:p>
    <w:p w14:paraId="2A2AF3BD" w14:textId="0DE11CC1" w:rsidR="00225449" w:rsidRDefault="00225449" w:rsidP="00225449">
      <w:pPr>
        <w:pStyle w:val="ListParagraph"/>
      </w:pPr>
      <w:r>
        <w:t xml:space="preserve">The Applicant </w:t>
      </w:r>
      <w:r w:rsidR="004E3732">
        <w:t>stated</w:t>
      </w:r>
      <w:r>
        <w:t xml:space="preserve"> that had the Authority simply said that it did not hold “notes” or “minutes” relating to the email in his request, then he would </w:t>
      </w:r>
      <w:r w:rsidR="004E3732">
        <w:t>have</w:t>
      </w:r>
      <w:r>
        <w:t xml:space="preserve"> made a complaint to the Authority.</w:t>
      </w:r>
    </w:p>
    <w:p w14:paraId="47FFBCCA" w14:textId="77777777" w:rsidR="004E3732" w:rsidRDefault="00225449" w:rsidP="00225449">
      <w:pPr>
        <w:pStyle w:val="ListParagraph"/>
      </w:pPr>
      <w:r>
        <w:t>However,</w:t>
      </w:r>
      <w:r w:rsidR="004E3732">
        <w:t xml:space="preserve"> the Applicant explained that</w:t>
      </w:r>
      <w:r>
        <w:t xml:space="preserve"> the Authority’s response and review outcome</w:t>
      </w:r>
      <w:r w:rsidR="004E3732">
        <w:t xml:space="preserve"> had</w:t>
      </w:r>
      <w:r>
        <w:t xml:space="preserve"> linked its claim that it did not hold the information requested to the information being “separate” from the Authority</w:t>
      </w:r>
      <w:r w:rsidR="004E3732">
        <w:t>.</w:t>
      </w:r>
    </w:p>
    <w:p w14:paraId="2466C82F" w14:textId="45432EE6" w:rsidR="00740400" w:rsidRDefault="004E3732">
      <w:pPr>
        <w:pStyle w:val="ListParagraph"/>
      </w:pPr>
      <w:r>
        <w:t>The</w:t>
      </w:r>
      <w:r w:rsidR="00225449">
        <w:t xml:space="preserve"> Applicant</w:t>
      </w:r>
      <w:r>
        <w:t xml:space="preserve"> therefore</w:t>
      </w:r>
      <w:r w:rsidR="00225449">
        <w:t xml:space="preserve"> considered that the Authority would, if it had followed its procedures correctly, hold the information requested because the communication trail related to </w:t>
      </w:r>
      <w:r w:rsidR="00740400">
        <w:t xml:space="preserve">an employee of the Authority when acting as </w:t>
      </w:r>
      <w:r w:rsidR="00083124">
        <w:t>a</w:t>
      </w:r>
      <w:r w:rsidR="00740400">
        <w:t xml:space="preserve"> representative</w:t>
      </w:r>
      <w:r w:rsidR="00083124">
        <w:t xml:space="preserve"> of the Authority</w:t>
      </w:r>
      <w:r w:rsidR="00225449">
        <w:t>.</w:t>
      </w:r>
    </w:p>
    <w:p w14:paraId="525FBA82" w14:textId="77777777" w:rsidR="00720AEB" w:rsidRDefault="00720AEB" w:rsidP="006904FB">
      <w:pPr>
        <w:ind w:left="567" w:hanging="567"/>
        <w:rPr>
          <w:i/>
        </w:rPr>
      </w:pPr>
    </w:p>
    <w:p w14:paraId="6556E146" w14:textId="77777777" w:rsidR="00720AEB" w:rsidRDefault="00720AEB" w:rsidP="006904FB">
      <w:pPr>
        <w:ind w:left="567" w:hanging="567"/>
        <w:rPr>
          <w:i/>
        </w:rPr>
      </w:pPr>
    </w:p>
    <w:p w14:paraId="4FDD8AA3" w14:textId="3D82FDFE" w:rsidR="00100CCC" w:rsidRDefault="00100CCC" w:rsidP="006904FB">
      <w:pPr>
        <w:ind w:left="567" w:hanging="567"/>
      </w:pPr>
      <w:r w:rsidRPr="006904FB">
        <w:rPr>
          <w:i/>
        </w:rPr>
        <w:lastRenderedPageBreak/>
        <w:t xml:space="preserve">The Commissioner’s </w:t>
      </w:r>
      <w:r w:rsidR="0098117A" w:rsidRPr="006904FB">
        <w:rPr>
          <w:i/>
        </w:rPr>
        <w:t>view</w:t>
      </w:r>
    </w:p>
    <w:p w14:paraId="2528AE0D" w14:textId="77777777" w:rsidR="00782748" w:rsidRDefault="0009188A" w:rsidP="0095347D">
      <w:pPr>
        <w:pStyle w:val="ListParagraph"/>
      </w:pPr>
      <w:r>
        <w:t>Having considered all relevant submissions and the terms of the request, the Commissioner is satisfied that the Authority took adequate</w:t>
      </w:r>
      <w:r w:rsidR="00242FA0">
        <w:t xml:space="preserve"> and </w:t>
      </w:r>
      <w:r>
        <w:t xml:space="preserve">proportionate steps in the circumstances to establish whether it held any information that fell within the scope of the </w:t>
      </w:r>
      <w:r w:rsidR="00242FA0">
        <w:t xml:space="preserve">Applicant’s </w:t>
      </w:r>
      <w:r>
        <w:t>request.</w:t>
      </w:r>
      <w:r w:rsidR="00A9124B">
        <w:t xml:space="preserve"> </w:t>
      </w:r>
    </w:p>
    <w:p w14:paraId="236A3C26" w14:textId="6C41AE86" w:rsidR="00740400" w:rsidRDefault="00740400" w:rsidP="00740400">
      <w:pPr>
        <w:pStyle w:val="ListParagraph"/>
      </w:pPr>
      <w:r>
        <w:t>Given the nature of the information requested, the explanations provided by the Authority</w:t>
      </w:r>
      <w:r w:rsidR="004E3732">
        <w:t xml:space="preserve">, </w:t>
      </w:r>
      <w:r w:rsidR="00782748" w:rsidRPr="002E6CDC">
        <w:t xml:space="preserve">the information it had disclosed in response to previous information requests </w:t>
      </w:r>
      <w:r>
        <w:t>and the time between the date of the email and the Applicant’s information request, the Commissioner is satisfied</w:t>
      </w:r>
      <w:r w:rsidR="00E445B7">
        <w:t>, on balance,</w:t>
      </w:r>
      <w:r>
        <w:t xml:space="preserve"> that the Authority does not (and did not, on receipt of the request) hold any information falling within the scope of the Applicant’s request. </w:t>
      </w:r>
    </w:p>
    <w:p w14:paraId="7CB362B3" w14:textId="4131AAAB" w:rsidR="00740400" w:rsidRPr="002E6CDC" w:rsidRDefault="00740400" w:rsidP="00740400">
      <w:pPr>
        <w:pStyle w:val="ListParagraph"/>
        <w:rPr>
          <w:color w:val="auto"/>
        </w:rPr>
      </w:pPr>
      <w:r w:rsidRPr="006904FB">
        <w:rPr>
          <w:color w:val="auto"/>
          <w:shd w:val="clear" w:color="auto" w:fill="FFFFFF"/>
        </w:rPr>
        <w:t>While the Applicant believed and expected the specified information to be held by the Authority, the Commissioner is satisfied</w:t>
      </w:r>
      <w:r w:rsidR="00A40C60">
        <w:rPr>
          <w:color w:val="auto"/>
          <w:shd w:val="clear" w:color="auto" w:fill="FFFFFF"/>
        </w:rPr>
        <w:t>, on balance,</w:t>
      </w:r>
      <w:r w:rsidRPr="006904FB">
        <w:rPr>
          <w:color w:val="auto"/>
          <w:shd w:val="clear" w:color="auto" w:fill="FFFFFF"/>
        </w:rPr>
        <w:t xml:space="preserve"> that this was not the case</w:t>
      </w:r>
      <w:r>
        <w:rPr>
          <w:color w:val="auto"/>
          <w:shd w:val="clear" w:color="auto" w:fill="FFFFFF"/>
        </w:rPr>
        <w:t>.</w:t>
      </w:r>
      <w:r w:rsidR="00A40C60">
        <w:rPr>
          <w:color w:val="auto"/>
          <w:shd w:val="clear" w:color="auto" w:fill="FFFFFF"/>
        </w:rPr>
        <w:t xml:space="preserve"> </w:t>
      </w:r>
    </w:p>
    <w:p w14:paraId="296D3F09" w14:textId="24861775" w:rsidR="004E3732" w:rsidRPr="006904FB" w:rsidRDefault="004E3732" w:rsidP="00740400">
      <w:pPr>
        <w:pStyle w:val="ListParagraph"/>
        <w:rPr>
          <w:color w:val="auto"/>
        </w:rPr>
      </w:pPr>
      <w:r>
        <w:rPr>
          <w:color w:val="auto"/>
        </w:rPr>
        <w:t>The Commissioner recognises that the Applicant considers that the Authority should, if it had followed its procedures correctly, hold the information requested.  Whether a public authority should hold information which it does not hold is not a matter for the Commissioner to decide.</w:t>
      </w:r>
    </w:p>
    <w:p w14:paraId="20F7D4AC" w14:textId="6366C381" w:rsidR="00740400" w:rsidRPr="006904FB" w:rsidRDefault="00740400" w:rsidP="00740400">
      <w:pPr>
        <w:pStyle w:val="ListParagraph"/>
        <w:rPr>
          <w:color w:val="auto"/>
        </w:rPr>
      </w:pPr>
      <w:r>
        <w:rPr>
          <w:color w:val="auto"/>
          <w:shd w:val="clear" w:color="auto" w:fill="FFFFFF"/>
        </w:rPr>
        <w:t>The Commissioner also</w:t>
      </w:r>
      <w:r w:rsidRPr="006904FB">
        <w:rPr>
          <w:color w:val="auto"/>
          <w:shd w:val="clear" w:color="auto" w:fill="FFFFFF"/>
        </w:rPr>
        <w:t xml:space="preserve"> notes that the Authority</w:t>
      </w:r>
      <w:r w:rsidR="00083124">
        <w:rPr>
          <w:color w:val="auto"/>
          <w:shd w:val="clear" w:color="auto" w:fill="FFFFFF"/>
        </w:rPr>
        <w:t>, in line with its duty to provide advice and assistance under section 15 of FOISA,</w:t>
      </w:r>
      <w:r w:rsidRPr="006904FB">
        <w:rPr>
          <w:color w:val="auto"/>
          <w:shd w:val="clear" w:color="auto" w:fill="FFFFFF"/>
        </w:rPr>
        <w:t xml:space="preserve"> advised the Applicant of a different public authority that might hold information falling within the scope of his request.</w:t>
      </w:r>
    </w:p>
    <w:p w14:paraId="32FD8F3B" w14:textId="5F01986B" w:rsidR="00B71A63" w:rsidRDefault="003E7AE6" w:rsidP="00A9124B">
      <w:pPr>
        <w:pStyle w:val="ListParagraph"/>
      </w:pPr>
      <w:r>
        <w:t xml:space="preserve">The Commissioner therefore </w:t>
      </w:r>
      <w:r w:rsidR="0009188A">
        <w:t>finds that the Authority was correct to give notice, in terms of section 17(1) of FOISA, that it did not hold the information requested.</w:t>
      </w:r>
      <w:r w:rsidR="00242FA0">
        <w:t xml:space="preserve"> </w:t>
      </w:r>
    </w:p>
    <w:p w14:paraId="5B412AAB" w14:textId="285B327B" w:rsidR="00270895" w:rsidRPr="002E6CDC" w:rsidRDefault="00270895" w:rsidP="00270895">
      <w:pPr>
        <w:rPr>
          <w:b/>
          <w:i/>
        </w:rPr>
      </w:pPr>
      <w:r w:rsidRPr="002E6CDC">
        <w:rPr>
          <w:b/>
          <w:i/>
        </w:rPr>
        <w:t>Other matters</w:t>
      </w:r>
    </w:p>
    <w:p w14:paraId="4DAC4E7B" w14:textId="526F6988" w:rsidR="00270895" w:rsidRDefault="00365912" w:rsidP="00270895">
      <w:pPr>
        <w:pStyle w:val="ListParagraph"/>
      </w:pPr>
      <w:r>
        <w:t xml:space="preserve">In general terms, </w:t>
      </w:r>
      <w:r w:rsidR="00270895">
        <w:t>FOI law only provides a right of access to information which has been recorded by an authority.</w:t>
      </w:r>
    </w:p>
    <w:p w14:paraId="3C094301" w14:textId="44C0C3E1" w:rsidR="00270895" w:rsidRDefault="00270895" w:rsidP="00270895">
      <w:pPr>
        <w:pStyle w:val="ListParagraph"/>
      </w:pPr>
      <w:r>
        <w:t xml:space="preserve">Requesters should bear this in mind when wording requests, and try to ask for information which is likely to be recorded and held.  </w:t>
      </w:r>
      <w:r w:rsidR="007720E1">
        <w:t>Asking, for example, for correspondence or documentation relating to a particular issue is generally likely to be more precise than asking for specific answers to specific questions</w:t>
      </w:r>
      <w:r w:rsidR="00720AEB">
        <w:t xml:space="preserve"> (particularly where those answers cannot easily be linked to recorded information).</w:t>
      </w:r>
    </w:p>
    <w:p w14:paraId="36399EF0" w14:textId="2BCC91C6" w:rsidR="00365912" w:rsidRDefault="00365912">
      <w:pPr>
        <w:pStyle w:val="ListParagraph"/>
      </w:pPr>
      <w:r>
        <w:t>Equally, every public authority has a duty to advise and assist people who are making requests for information.  This includes helping requesters to formulate requests that give them the best opportunity to receive the information that they are interested in.</w:t>
      </w:r>
    </w:p>
    <w:p w14:paraId="278EB883" w14:textId="6583AE94" w:rsidR="007C20B1" w:rsidRPr="00F11C23" w:rsidRDefault="007C20B1" w:rsidP="00F11C23">
      <w:pPr>
        <w:pStyle w:val="ListParagraph"/>
        <w:rPr>
          <w:color w:val="auto"/>
          <w:szCs w:val="22"/>
        </w:rPr>
      </w:pPr>
      <w:r>
        <w:t>The Commissioner also notes that the Authority stated that it had previously disclosed to the Applicant communication between members of the Scottish Stoma Care Clinical Nurse Specialist Group as it was obliged, under FOISA, to do so as the emails were held within its email system.</w:t>
      </w:r>
    </w:p>
    <w:p w14:paraId="757C3643" w14:textId="77777777" w:rsidR="00740400" w:rsidRDefault="00740400" w:rsidP="002E6CDC"/>
    <w:bookmarkEnd w:id="2"/>
    <w:p w14:paraId="34CE07B5" w14:textId="77777777" w:rsidR="00EA1D7F" w:rsidRPr="00B71A63" w:rsidRDefault="00EA1D7F" w:rsidP="00C500CF">
      <w:pPr>
        <w:pStyle w:val="Heading2"/>
      </w:pPr>
      <w:r w:rsidRPr="00B71A63">
        <w:t xml:space="preserve">Decision </w:t>
      </w:r>
    </w:p>
    <w:p w14:paraId="41F26630" w14:textId="4A58FBE8" w:rsidR="003925A1" w:rsidRPr="00B638D3" w:rsidRDefault="003925A1" w:rsidP="003925A1">
      <w:r w:rsidRPr="00B638D3">
        <w:t xml:space="preserve">The Commissioner finds that </w:t>
      </w:r>
      <w:r w:rsidR="00D01080">
        <w:rPr>
          <w:color w:val="auto"/>
        </w:rPr>
        <w:t xml:space="preserve">the Authority </w:t>
      </w:r>
      <w:r w:rsidRPr="00B638D3">
        <w:t xml:space="preserve">complied with Part 1 of the Freedom of Information (Scotland) Act 2002 in responding to the information request made by </w:t>
      </w:r>
      <w:r>
        <w:t>the Applicant</w:t>
      </w:r>
      <w:r w:rsidRPr="00B638D3">
        <w:t>.</w:t>
      </w:r>
    </w:p>
    <w:p w14:paraId="59AA50E6" w14:textId="77777777" w:rsidR="00191A5A" w:rsidRPr="00B638D3" w:rsidRDefault="00191A5A" w:rsidP="00EA1D7F"/>
    <w:p w14:paraId="7045D5B8" w14:textId="77777777" w:rsidR="00EA1D7F" w:rsidRPr="00B71A63" w:rsidRDefault="00EA1D7F" w:rsidP="00C500CF">
      <w:pPr>
        <w:pStyle w:val="Heading2"/>
      </w:pPr>
      <w:r w:rsidRPr="00B71A63">
        <w:lastRenderedPageBreak/>
        <w:t>Appeal</w:t>
      </w:r>
    </w:p>
    <w:p w14:paraId="7BD14073" w14:textId="0E144635" w:rsidR="008B2A69" w:rsidRDefault="00EA1D7F" w:rsidP="00EA1D7F">
      <w:r w:rsidRPr="00083D3E">
        <w:t xml:space="preserve">Should either </w:t>
      </w:r>
      <w:r>
        <w:t>the Applicant</w:t>
      </w:r>
      <w:r w:rsidRPr="00083D3E">
        <w:t xml:space="preserve"> or</w:t>
      </w:r>
      <w:r>
        <w:t xml:space="preserve"> </w:t>
      </w:r>
      <w:r w:rsidR="00D01080">
        <w:t xml:space="preserve">the Authority </w:t>
      </w:r>
      <w:r w:rsidRPr="00083D3E">
        <w:t>wish to appeal against this decision, they have the right to appeal to the Court of Session on a point of law only.</w:t>
      </w:r>
      <w:r w:rsidR="00CA72BD">
        <w:t xml:space="preserve"> </w:t>
      </w:r>
      <w:r w:rsidR="00F55B63">
        <w:t xml:space="preserve"> </w:t>
      </w:r>
      <w:r w:rsidRPr="00083D3E">
        <w:t>Any such appeal must be made within 42</w:t>
      </w:r>
      <w:r w:rsidR="00F55B63">
        <w:t xml:space="preserve"> </w:t>
      </w:r>
      <w:r w:rsidRPr="00083D3E">
        <w:t>days after the date of intimation of this decision</w:t>
      </w:r>
      <w:r w:rsidR="00B71A63">
        <w:t>.</w:t>
      </w:r>
    </w:p>
    <w:p w14:paraId="240E2443" w14:textId="77777777" w:rsidR="00EA7C45" w:rsidRDefault="00EA7C45" w:rsidP="00EA1D7F"/>
    <w:p w14:paraId="017E8C84" w14:textId="02E6D4A6" w:rsidR="00E70B63" w:rsidRPr="00083D3E" w:rsidRDefault="003E6804" w:rsidP="00E70B63">
      <w:pPr>
        <w:spacing w:after="0" w:line="240" w:lineRule="auto"/>
        <w:rPr>
          <w:b/>
        </w:rPr>
      </w:pPr>
      <w:r>
        <w:rPr>
          <w:b/>
        </w:rPr>
        <w:t>Cal Richardson</w:t>
      </w:r>
    </w:p>
    <w:p w14:paraId="578A759F" w14:textId="6D0DBB49" w:rsidR="00E70B63" w:rsidRDefault="003E6804" w:rsidP="007A58D2">
      <w:pPr>
        <w:spacing w:after="0" w:line="240" w:lineRule="auto"/>
        <w:rPr>
          <w:b/>
        </w:rPr>
      </w:pPr>
      <w:r>
        <w:rPr>
          <w:b/>
        </w:rPr>
        <w:t xml:space="preserve">Deputy </w:t>
      </w:r>
      <w:r w:rsidR="00E70B63">
        <w:rPr>
          <w:b/>
        </w:rPr>
        <w:t xml:space="preserve">Head of Enforcement </w:t>
      </w:r>
    </w:p>
    <w:p w14:paraId="79394E7D" w14:textId="77777777" w:rsidR="00C52DD2" w:rsidRPr="00083D3E" w:rsidRDefault="00C52DD2" w:rsidP="007A58D2">
      <w:pPr>
        <w:spacing w:after="0" w:line="240" w:lineRule="auto"/>
        <w:rPr>
          <w:b/>
        </w:rPr>
      </w:pPr>
    </w:p>
    <w:p w14:paraId="1DEF85C6" w14:textId="66EF2FB4" w:rsidR="00E70B63" w:rsidRPr="00083D3E" w:rsidRDefault="009A0F8C" w:rsidP="00E70B63">
      <w:pPr>
        <w:spacing w:line="240" w:lineRule="auto"/>
        <w:rPr>
          <w:b/>
        </w:rPr>
      </w:pPr>
      <w:r>
        <w:rPr>
          <w:b/>
        </w:rPr>
        <w:t>24</w:t>
      </w:r>
      <w:r w:rsidR="00D8664E">
        <w:rPr>
          <w:b/>
        </w:rPr>
        <w:t xml:space="preserve"> April</w:t>
      </w:r>
      <w:r w:rsidR="008B2A69">
        <w:rPr>
          <w:b/>
        </w:rPr>
        <w:t xml:space="preserve"> </w:t>
      </w:r>
      <w:r w:rsidR="00E70B63">
        <w:rPr>
          <w:b/>
        </w:rPr>
        <w:t>202</w:t>
      </w:r>
      <w:r w:rsidR="003E6804">
        <w:rPr>
          <w:b/>
        </w:rPr>
        <w:t>4</w:t>
      </w:r>
    </w:p>
    <w:p w14:paraId="71C409E8" w14:textId="1A4113C6" w:rsidR="00B657D7" w:rsidRDefault="00B657D7">
      <w:pPr>
        <w:spacing w:after="200"/>
        <w:rPr>
          <w:b/>
          <w:color w:val="004631"/>
          <w:sz w:val="24"/>
        </w:rPr>
      </w:pPr>
      <w:r>
        <w:rPr>
          <w:b/>
          <w:color w:val="004631"/>
          <w:sz w:val="24"/>
        </w:rPr>
        <w:br w:type="page"/>
      </w:r>
    </w:p>
    <w:p w14:paraId="06CC6B51" w14:textId="77777777" w:rsidR="003563FE" w:rsidRPr="00B71A63" w:rsidRDefault="003563FE" w:rsidP="00C500CF">
      <w:pPr>
        <w:pStyle w:val="Heading2"/>
      </w:pPr>
      <w:r w:rsidRPr="00B71A63">
        <w:lastRenderedPageBreak/>
        <w:t>Appendix 1: Relevant statutory provisions</w:t>
      </w:r>
    </w:p>
    <w:p w14:paraId="6B3DA950" w14:textId="77777777" w:rsidR="003563FE" w:rsidRPr="00A63733" w:rsidRDefault="003563FE" w:rsidP="008D2A55">
      <w:pPr>
        <w:pStyle w:val="SubTitle1"/>
      </w:pPr>
      <w:r w:rsidRPr="00A63733">
        <w:t>Freedom of Information (Scotland) Act 2002</w:t>
      </w:r>
    </w:p>
    <w:p w14:paraId="7891A030" w14:textId="77777777" w:rsidR="00A63733" w:rsidRPr="00A63733" w:rsidRDefault="00A63733" w:rsidP="00473BEB">
      <w:pPr>
        <w:pStyle w:val="Heading2"/>
      </w:pPr>
      <w:r w:rsidRPr="00A63733">
        <w:t xml:space="preserve">1 </w:t>
      </w:r>
      <w:r w:rsidRPr="00A63733">
        <w:tab/>
        <w:t>General entitlement</w:t>
      </w:r>
    </w:p>
    <w:p w14:paraId="05BB455B" w14:textId="77777777" w:rsidR="00A63733" w:rsidRPr="00CE2CA2" w:rsidRDefault="00A63733" w:rsidP="00A63733">
      <w:pPr>
        <w:keepLines/>
        <w:spacing w:after="120"/>
        <w:ind w:left="1134" w:hanging="567"/>
        <w:rPr>
          <w:rFonts w:eastAsia="Times New Roman"/>
          <w:color w:val="auto"/>
          <w:szCs w:val="22"/>
          <w:lang w:eastAsia="en-GB"/>
        </w:rPr>
      </w:pPr>
      <w:r w:rsidRPr="00CE2CA2">
        <w:rPr>
          <w:rFonts w:eastAsia="Times New Roman"/>
          <w:color w:val="auto"/>
          <w:szCs w:val="22"/>
          <w:lang w:eastAsia="en-GB"/>
        </w:rPr>
        <w:t xml:space="preserve">(1) </w:t>
      </w:r>
      <w:r w:rsidRPr="00CE2CA2">
        <w:rPr>
          <w:rFonts w:eastAsia="Times New Roman"/>
          <w:color w:val="auto"/>
          <w:szCs w:val="22"/>
          <w:lang w:eastAsia="en-GB"/>
        </w:rPr>
        <w:tab/>
        <w:t>A person who requests information fr</w:t>
      </w:r>
      <w:r>
        <w:rPr>
          <w:rFonts w:eastAsia="Times New Roman"/>
          <w:color w:val="auto"/>
          <w:szCs w:val="22"/>
          <w:lang w:eastAsia="en-GB"/>
        </w:rPr>
        <w:t xml:space="preserve">om a Scottish public authority </w:t>
      </w:r>
      <w:r w:rsidRPr="00CE2CA2">
        <w:rPr>
          <w:rFonts w:eastAsia="Times New Roman"/>
          <w:color w:val="auto"/>
          <w:szCs w:val="22"/>
          <w:lang w:eastAsia="en-GB"/>
        </w:rPr>
        <w:t>which holds it is entitled to be given it by the authority.</w:t>
      </w:r>
    </w:p>
    <w:p w14:paraId="7C606788" w14:textId="77777777" w:rsidR="00A63733" w:rsidRPr="00CE2CA2" w:rsidRDefault="00A63733" w:rsidP="00A63733">
      <w:pPr>
        <w:keepLines/>
        <w:spacing w:after="120"/>
        <w:ind w:left="1134" w:hanging="567"/>
        <w:rPr>
          <w:rFonts w:eastAsia="Times New Roman"/>
          <w:color w:val="auto"/>
          <w:szCs w:val="22"/>
          <w:lang w:eastAsia="en-GB"/>
        </w:rPr>
      </w:pPr>
      <w:r w:rsidRPr="00CE2CA2">
        <w:rPr>
          <w:rFonts w:eastAsia="Times New Roman"/>
          <w:color w:val="auto"/>
          <w:szCs w:val="22"/>
          <w:lang w:eastAsia="en-GB"/>
        </w:rPr>
        <w:t xml:space="preserve">(2) </w:t>
      </w:r>
      <w:r w:rsidRPr="00CE2CA2">
        <w:rPr>
          <w:rFonts w:eastAsia="Times New Roman"/>
          <w:color w:val="auto"/>
          <w:szCs w:val="22"/>
          <w:lang w:eastAsia="en-GB"/>
        </w:rPr>
        <w:tab/>
        <w:t xml:space="preserve">The person who makes such a request </w:t>
      </w:r>
      <w:r>
        <w:rPr>
          <w:rFonts w:eastAsia="Times New Roman"/>
          <w:color w:val="auto"/>
          <w:szCs w:val="22"/>
          <w:lang w:eastAsia="en-GB"/>
        </w:rPr>
        <w:t xml:space="preserve">is in this Part and in Parts 2 </w:t>
      </w:r>
      <w:r w:rsidRPr="00CE2CA2">
        <w:rPr>
          <w:rFonts w:eastAsia="Times New Roman"/>
          <w:color w:val="auto"/>
          <w:szCs w:val="22"/>
          <w:lang w:eastAsia="en-GB"/>
        </w:rPr>
        <w:t>and 7 referred to as the “applicant.”</w:t>
      </w:r>
    </w:p>
    <w:p w14:paraId="28CB235D" w14:textId="0FF56E1E" w:rsidR="00A63733" w:rsidRDefault="00F55B63" w:rsidP="00F55B63">
      <w:pPr>
        <w:keepLines/>
        <w:spacing w:after="120"/>
        <w:ind w:left="1134" w:hanging="567"/>
        <w:rPr>
          <w:rFonts w:eastAsia="Times New Roman"/>
          <w:color w:val="auto"/>
          <w:szCs w:val="22"/>
          <w:lang w:eastAsia="en-GB"/>
        </w:rPr>
      </w:pPr>
      <w:r>
        <w:rPr>
          <w:rFonts w:eastAsia="Times New Roman"/>
          <w:color w:val="auto"/>
          <w:szCs w:val="22"/>
          <w:lang w:eastAsia="en-GB"/>
        </w:rPr>
        <w:t>…</w:t>
      </w:r>
    </w:p>
    <w:p w14:paraId="2C729901" w14:textId="715111FE" w:rsidR="00F11C23" w:rsidRPr="00F11C23" w:rsidRDefault="00F11C23" w:rsidP="00F11C23">
      <w:pPr>
        <w:keepLines/>
        <w:spacing w:after="120"/>
        <w:ind w:left="1134" w:hanging="567"/>
        <w:rPr>
          <w:szCs w:val="22"/>
        </w:rPr>
      </w:pPr>
      <w:r>
        <w:rPr>
          <w:rFonts w:eastAsia="Times New Roman"/>
          <w:color w:val="auto"/>
          <w:szCs w:val="22"/>
          <w:lang w:eastAsia="en-GB"/>
        </w:rPr>
        <w:t>(4)</w:t>
      </w:r>
      <w:r>
        <w:rPr>
          <w:rFonts w:eastAsia="Times New Roman"/>
          <w:color w:val="auto"/>
          <w:szCs w:val="22"/>
          <w:lang w:eastAsia="en-GB"/>
        </w:rPr>
        <w:tab/>
      </w:r>
      <w:r w:rsidRPr="00F11C23">
        <w:rPr>
          <w:szCs w:val="22"/>
        </w:rPr>
        <w:t>The information to be given by the authority is that held by it at the time the request is received,</w:t>
      </w:r>
      <w:r>
        <w:rPr>
          <w:szCs w:val="22"/>
        </w:rPr>
        <w:t xml:space="preserve"> </w:t>
      </w:r>
      <w:r w:rsidRPr="00F11C23">
        <w:rPr>
          <w:rFonts w:eastAsia="Times New Roman"/>
          <w:color w:val="auto"/>
          <w:szCs w:val="22"/>
          <w:lang w:eastAsia="en-GB"/>
        </w:rPr>
        <w:t>except that, subject to subsection (5), any amendment or deletion which would have been made, regardless of the</w:t>
      </w:r>
      <w:r>
        <w:rPr>
          <w:szCs w:val="22"/>
        </w:rPr>
        <w:t xml:space="preserve"> </w:t>
      </w:r>
      <w:r w:rsidRPr="00F11C23">
        <w:rPr>
          <w:rFonts w:eastAsia="Times New Roman"/>
          <w:color w:val="auto"/>
          <w:szCs w:val="22"/>
          <w:lang w:eastAsia="en-GB"/>
        </w:rPr>
        <w:t>receipt of the request, between that time and the time it gives the information may not be made before the</w:t>
      </w:r>
      <w:r>
        <w:rPr>
          <w:szCs w:val="22"/>
        </w:rPr>
        <w:t xml:space="preserve"> </w:t>
      </w:r>
      <w:r w:rsidRPr="00F11C23">
        <w:rPr>
          <w:rFonts w:eastAsia="Times New Roman"/>
          <w:color w:val="auto"/>
          <w:szCs w:val="22"/>
          <w:lang w:eastAsia="en-GB"/>
        </w:rPr>
        <w:t>information is given.</w:t>
      </w:r>
    </w:p>
    <w:p w14:paraId="558E3230" w14:textId="44BCC41C" w:rsidR="00F11C23" w:rsidRDefault="00F11C23" w:rsidP="00F55B63">
      <w:pPr>
        <w:keepLines/>
        <w:spacing w:after="120"/>
        <w:ind w:left="1134" w:hanging="567"/>
        <w:rPr>
          <w:rFonts w:eastAsia="Times New Roman"/>
          <w:color w:val="auto"/>
          <w:szCs w:val="22"/>
          <w:lang w:eastAsia="en-GB"/>
        </w:rPr>
      </w:pPr>
      <w:r>
        <w:rPr>
          <w:rFonts w:eastAsia="Times New Roman"/>
          <w:color w:val="auto"/>
          <w:szCs w:val="22"/>
          <w:lang w:eastAsia="en-GB"/>
        </w:rPr>
        <w:t>…</w:t>
      </w:r>
    </w:p>
    <w:p w14:paraId="14187889" w14:textId="77777777" w:rsidR="00A63733" w:rsidRDefault="00A63733" w:rsidP="00A63733">
      <w:pPr>
        <w:keepLines/>
        <w:spacing w:after="120"/>
        <w:ind w:left="1134" w:hanging="567"/>
        <w:rPr>
          <w:rFonts w:eastAsia="Times New Roman"/>
          <w:color w:val="auto"/>
          <w:szCs w:val="22"/>
          <w:lang w:eastAsia="en-GB"/>
        </w:rPr>
      </w:pPr>
      <w:r>
        <w:rPr>
          <w:rFonts w:eastAsia="Times New Roman"/>
          <w:color w:val="auto"/>
          <w:szCs w:val="22"/>
          <w:lang w:eastAsia="en-GB"/>
        </w:rPr>
        <w:t>(6)</w:t>
      </w:r>
      <w:r>
        <w:rPr>
          <w:rFonts w:eastAsia="Times New Roman"/>
          <w:color w:val="auto"/>
          <w:szCs w:val="22"/>
          <w:lang w:eastAsia="en-GB"/>
        </w:rPr>
        <w:tab/>
        <w:t>This section is subject to sections 2, 9, 12 and 14.</w:t>
      </w:r>
    </w:p>
    <w:p w14:paraId="09D4D9C5" w14:textId="77777777" w:rsidR="00A63733" w:rsidRPr="00CE2CA2" w:rsidRDefault="00A63733" w:rsidP="00A63733">
      <w:pPr>
        <w:keepLines/>
        <w:spacing w:after="120"/>
        <w:ind w:left="1134" w:hanging="567"/>
        <w:rPr>
          <w:rFonts w:eastAsia="Times New Roman"/>
          <w:color w:val="auto"/>
          <w:szCs w:val="22"/>
          <w:lang w:eastAsia="en-GB"/>
        </w:rPr>
      </w:pPr>
    </w:p>
    <w:p w14:paraId="4812CCE0" w14:textId="77777777" w:rsidR="00A63733" w:rsidRPr="00A63733" w:rsidRDefault="00A63733" w:rsidP="00473BEB">
      <w:pPr>
        <w:pStyle w:val="Heading2"/>
      </w:pPr>
      <w:r w:rsidRPr="00A63733">
        <w:t xml:space="preserve">17 </w:t>
      </w:r>
      <w:r w:rsidRPr="00A63733">
        <w:tab/>
        <w:t>Notice that information is not held</w:t>
      </w:r>
    </w:p>
    <w:p w14:paraId="144A989A" w14:textId="77777777" w:rsidR="00A63733" w:rsidRPr="00D61C5D" w:rsidRDefault="00A63733" w:rsidP="00A63733">
      <w:pPr>
        <w:keepLines/>
        <w:spacing w:after="120"/>
        <w:ind w:left="1134" w:hanging="567"/>
        <w:rPr>
          <w:rFonts w:eastAsia="Times New Roman"/>
          <w:color w:val="auto"/>
          <w:szCs w:val="22"/>
          <w:lang w:eastAsia="en-GB"/>
        </w:rPr>
      </w:pPr>
      <w:r w:rsidRPr="00D61C5D">
        <w:rPr>
          <w:rFonts w:eastAsia="Times New Roman"/>
          <w:color w:val="auto"/>
          <w:szCs w:val="22"/>
          <w:lang w:eastAsia="en-GB"/>
        </w:rPr>
        <w:t xml:space="preserve">(1) </w:t>
      </w:r>
      <w:r w:rsidRPr="00D61C5D">
        <w:rPr>
          <w:rFonts w:eastAsia="Times New Roman"/>
          <w:color w:val="auto"/>
          <w:szCs w:val="22"/>
          <w:lang w:eastAsia="en-GB"/>
        </w:rPr>
        <w:tab/>
        <w:t>Where-</w:t>
      </w:r>
    </w:p>
    <w:p w14:paraId="0CCCFCA7" w14:textId="77777777" w:rsidR="00A63733" w:rsidRPr="00D61C5D" w:rsidRDefault="00A63733" w:rsidP="00A63733">
      <w:pPr>
        <w:keepLines/>
        <w:spacing w:after="120"/>
        <w:ind w:left="1701" w:hanging="567"/>
        <w:rPr>
          <w:rFonts w:eastAsia="Times New Roman"/>
          <w:color w:val="auto"/>
          <w:szCs w:val="22"/>
          <w:lang w:eastAsia="en-GB"/>
        </w:rPr>
      </w:pPr>
      <w:r w:rsidRPr="00D61C5D">
        <w:rPr>
          <w:rFonts w:eastAsia="Times New Roman"/>
          <w:color w:val="auto"/>
          <w:szCs w:val="22"/>
          <w:lang w:eastAsia="en-GB"/>
        </w:rPr>
        <w:t xml:space="preserve">(a) </w:t>
      </w:r>
      <w:r w:rsidRPr="00D61C5D">
        <w:rPr>
          <w:rFonts w:eastAsia="Times New Roman"/>
          <w:color w:val="auto"/>
          <w:szCs w:val="22"/>
          <w:lang w:eastAsia="en-GB"/>
        </w:rPr>
        <w:tab/>
        <w:t>a Scottish public authority receives a request which would require it either-</w:t>
      </w:r>
    </w:p>
    <w:p w14:paraId="2F0548B1" w14:textId="77777777" w:rsidR="00A63733" w:rsidRPr="00D61C5D" w:rsidRDefault="00A63733" w:rsidP="00A63733">
      <w:pPr>
        <w:keepLines/>
        <w:spacing w:after="120"/>
        <w:ind w:left="2268" w:hanging="567"/>
        <w:rPr>
          <w:rFonts w:eastAsia="Times New Roman"/>
          <w:color w:val="auto"/>
          <w:szCs w:val="22"/>
          <w:lang w:eastAsia="en-GB"/>
        </w:rPr>
      </w:pPr>
      <w:r w:rsidRPr="00D61C5D">
        <w:rPr>
          <w:rFonts w:eastAsia="Times New Roman"/>
          <w:color w:val="auto"/>
          <w:szCs w:val="22"/>
          <w:lang w:eastAsia="en-GB"/>
        </w:rPr>
        <w:t xml:space="preserve">(i) </w:t>
      </w:r>
      <w:r w:rsidRPr="00D61C5D">
        <w:rPr>
          <w:rFonts w:eastAsia="Times New Roman"/>
          <w:color w:val="auto"/>
          <w:szCs w:val="22"/>
          <w:lang w:eastAsia="en-GB"/>
        </w:rPr>
        <w:tab/>
        <w:t>to comply with section 1(1); or</w:t>
      </w:r>
    </w:p>
    <w:p w14:paraId="78C286B7" w14:textId="77777777" w:rsidR="00A63733" w:rsidRPr="00D61C5D" w:rsidRDefault="00A63733" w:rsidP="00A63733">
      <w:pPr>
        <w:keepLines/>
        <w:spacing w:after="120"/>
        <w:ind w:left="2268" w:hanging="567"/>
        <w:rPr>
          <w:rFonts w:eastAsia="Times New Roman"/>
          <w:color w:val="auto"/>
          <w:szCs w:val="22"/>
          <w:lang w:eastAsia="en-GB"/>
        </w:rPr>
      </w:pPr>
      <w:r w:rsidRPr="00D61C5D">
        <w:rPr>
          <w:rFonts w:eastAsia="Times New Roman"/>
          <w:color w:val="auto"/>
          <w:szCs w:val="22"/>
          <w:lang w:eastAsia="en-GB"/>
        </w:rPr>
        <w:t xml:space="preserve">(ii) </w:t>
      </w:r>
      <w:r w:rsidRPr="00D61C5D">
        <w:rPr>
          <w:rFonts w:eastAsia="Times New Roman"/>
          <w:color w:val="auto"/>
          <w:szCs w:val="22"/>
          <w:lang w:eastAsia="en-GB"/>
        </w:rPr>
        <w:tab/>
        <w:t>to determine any question arising by virtue of paragraph (a) or (b) of section 2(1),</w:t>
      </w:r>
    </w:p>
    <w:p w14:paraId="59B70135" w14:textId="77777777" w:rsidR="00A63733" w:rsidRPr="00D61C5D" w:rsidRDefault="00A63733" w:rsidP="00A63733">
      <w:pPr>
        <w:keepLines/>
        <w:spacing w:after="120"/>
        <w:ind w:left="1701" w:hanging="567"/>
        <w:rPr>
          <w:rFonts w:eastAsia="Times New Roman"/>
          <w:color w:val="auto"/>
          <w:szCs w:val="22"/>
          <w:lang w:eastAsia="en-GB"/>
        </w:rPr>
      </w:pPr>
      <w:r w:rsidRPr="00D61C5D">
        <w:rPr>
          <w:rFonts w:eastAsia="Times New Roman"/>
          <w:color w:val="auto"/>
          <w:szCs w:val="22"/>
          <w:lang w:eastAsia="en-GB"/>
        </w:rPr>
        <w:t>if it held the information to which the request relates; but</w:t>
      </w:r>
    </w:p>
    <w:p w14:paraId="5CB6294A" w14:textId="77777777" w:rsidR="00A63733" w:rsidRPr="00D61C5D" w:rsidRDefault="00A63733" w:rsidP="00A63733">
      <w:pPr>
        <w:keepLines/>
        <w:spacing w:after="120"/>
        <w:ind w:left="1701" w:hanging="567"/>
        <w:rPr>
          <w:rFonts w:eastAsia="Times New Roman"/>
          <w:color w:val="auto"/>
          <w:szCs w:val="22"/>
          <w:lang w:eastAsia="en-GB"/>
        </w:rPr>
      </w:pPr>
      <w:r w:rsidRPr="00D61C5D">
        <w:rPr>
          <w:rFonts w:eastAsia="Times New Roman"/>
          <w:color w:val="auto"/>
          <w:szCs w:val="22"/>
          <w:lang w:eastAsia="en-GB"/>
        </w:rPr>
        <w:t xml:space="preserve">(b) </w:t>
      </w:r>
      <w:r w:rsidRPr="00D61C5D">
        <w:rPr>
          <w:rFonts w:eastAsia="Times New Roman"/>
          <w:color w:val="auto"/>
          <w:szCs w:val="22"/>
          <w:lang w:eastAsia="en-GB"/>
        </w:rPr>
        <w:tab/>
        <w:t>the authority does not hold that information,</w:t>
      </w:r>
    </w:p>
    <w:p w14:paraId="535AF052" w14:textId="77777777" w:rsidR="00A63733" w:rsidRPr="00D61C5D" w:rsidRDefault="00A63733" w:rsidP="00A63733">
      <w:pPr>
        <w:keepLines/>
        <w:spacing w:after="120"/>
        <w:ind w:left="1134"/>
        <w:rPr>
          <w:rFonts w:eastAsia="Times New Roman"/>
          <w:color w:val="auto"/>
          <w:szCs w:val="22"/>
          <w:lang w:eastAsia="en-GB"/>
        </w:rPr>
      </w:pPr>
      <w:r w:rsidRPr="00D61C5D">
        <w:rPr>
          <w:rFonts w:eastAsia="Times New Roman"/>
          <w:color w:val="auto"/>
          <w:szCs w:val="22"/>
          <w:lang w:eastAsia="en-GB"/>
        </w:rPr>
        <w:t>it must, within the time allowed by or by virtue of section 10 for complying with the request, give the applicant notice in writing that it does not hold it.</w:t>
      </w:r>
    </w:p>
    <w:p w14:paraId="67606C1D" w14:textId="31ECAB2A" w:rsidR="00A63733" w:rsidRDefault="00F55B63" w:rsidP="00F55B63">
      <w:pPr>
        <w:keepLines/>
        <w:spacing w:after="120"/>
        <w:ind w:left="1134" w:hanging="567"/>
        <w:rPr>
          <w:rFonts w:eastAsia="Times New Roman"/>
          <w:color w:val="auto"/>
          <w:szCs w:val="22"/>
          <w:lang w:eastAsia="en-GB"/>
        </w:rPr>
      </w:pPr>
      <w:r>
        <w:rPr>
          <w:rFonts w:eastAsia="Times New Roman"/>
          <w:color w:val="auto"/>
          <w:szCs w:val="22"/>
          <w:lang w:eastAsia="en-GB"/>
        </w:rPr>
        <w:t>…</w:t>
      </w:r>
    </w:p>
    <w:p w14:paraId="5F6F3F13" w14:textId="77777777" w:rsidR="00A80F15" w:rsidRDefault="00A80F15" w:rsidP="00F55B63">
      <w:pPr>
        <w:keepLines/>
        <w:spacing w:after="120"/>
        <w:ind w:left="1134" w:hanging="567"/>
        <w:rPr>
          <w:rFonts w:eastAsia="Times New Roman"/>
          <w:color w:val="auto"/>
          <w:szCs w:val="22"/>
          <w:lang w:eastAsia="en-GB"/>
        </w:rPr>
      </w:pPr>
    </w:p>
    <w:p w14:paraId="73A65A07" w14:textId="547F7406" w:rsidR="00323EF6" w:rsidRPr="00A63733" w:rsidRDefault="00323EF6" w:rsidP="00473BEB">
      <w:pPr>
        <w:pStyle w:val="Heading2"/>
      </w:pPr>
      <w:r>
        <w:t>47</w:t>
      </w:r>
      <w:r w:rsidRPr="00A63733">
        <w:t xml:space="preserve"> </w:t>
      </w:r>
      <w:r w:rsidRPr="00A63733">
        <w:tab/>
      </w:r>
      <w:r>
        <w:t>Application for decision by Commissioner</w:t>
      </w:r>
    </w:p>
    <w:p w14:paraId="517E9437" w14:textId="75B37A61" w:rsidR="00951CE2" w:rsidRPr="00D61C5D" w:rsidRDefault="00323EF6" w:rsidP="00951CE2">
      <w:pPr>
        <w:keepLines/>
        <w:spacing w:after="120"/>
        <w:ind w:left="1134" w:hanging="567"/>
        <w:rPr>
          <w:rFonts w:eastAsia="Times New Roman"/>
          <w:color w:val="auto"/>
          <w:szCs w:val="22"/>
          <w:lang w:eastAsia="en-GB"/>
        </w:rPr>
      </w:pPr>
      <w:r w:rsidRPr="00D61C5D">
        <w:rPr>
          <w:rFonts w:eastAsia="Times New Roman"/>
          <w:color w:val="auto"/>
          <w:szCs w:val="22"/>
          <w:lang w:eastAsia="en-GB"/>
        </w:rPr>
        <w:t xml:space="preserve">(1) </w:t>
      </w:r>
      <w:r w:rsidRPr="00D61C5D">
        <w:rPr>
          <w:rFonts w:eastAsia="Times New Roman"/>
          <w:color w:val="auto"/>
          <w:szCs w:val="22"/>
          <w:lang w:eastAsia="en-GB"/>
        </w:rPr>
        <w:tab/>
      </w:r>
      <w:r>
        <w:rPr>
          <w:rFonts w:eastAsia="Times New Roman"/>
          <w:color w:val="auto"/>
          <w:szCs w:val="22"/>
          <w:lang w:eastAsia="en-GB"/>
        </w:rPr>
        <w:t xml:space="preserve">A person who is </w:t>
      </w:r>
      <w:r w:rsidR="00951CE2">
        <w:rPr>
          <w:rFonts w:eastAsia="Times New Roman"/>
          <w:color w:val="auto"/>
          <w:szCs w:val="22"/>
          <w:lang w:eastAsia="en-GB"/>
        </w:rPr>
        <w:t>dissatisfied with -</w:t>
      </w:r>
    </w:p>
    <w:p w14:paraId="0008F227" w14:textId="415C24ED" w:rsidR="00951CE2" w:rsidRPr="00D61C5D" w:rsidRDefault="00951CE2" w:rsidP="00951CE2">
      <w:pPr>
        <w:keepLines/>
        <w:spacing w:after="120"/>
        <w:ind w:left="1701" w:hanging="567"/>
        <w:rPr>
          <w:rFonts w:eastAsia="Times New Roman"/>
          <w:color w:val="auto"/>
          <w:szCs w:val="22"/>
          <w:lang w:eastAsia="en-GB"/>
        </w:rPr>
      </w:pPr>
      <w:r w:rsidRPr="00D61C5D">
        <w:rPr>
          <w:rFonts w:eastAsia="Times New Roman"/>
          <w:color w:val="auto"/>
          <w:szCs w:val="22"/>
          <w:lang w:eastAsia="en-GB"/>
        </w:rPr>
        <w:t xml:space="preserve">(a) </w:t>
      </w:r>
      <w:r w:rsidRPr="00D61C5D">
        <w:rPr>
          <w:rFonts w:eastAsia="Times New Roman"/>
          <w:color w:val="auto"/>
          <w:szCs w:val="22"/>
          <w:lang w:eastAsia="en-GB"/>
        </w:rPr>
        <w:tab/>
      </w:r>
      <w:r>
        <w:rPr>
          <w:rFonts w:eastAsia="Times New Roman"/>
          <w:color w:val="auto"/>
          <w:szCs w:val="22"/>
          <w:lang w:eastAsia="en-GB"/>
        </w:rPr>
        <w:t>a notice under section 21(5) or (9); or</w:t>
      </w:r>
    </w:p>
    <w:p w14:paraId="723E726B" w14:textId="7EF375F8" w:rsidR="00951CE2" w:rsidRPr="00D61C5D" w:rsidRDefault="00951CE2" w:rsidP="00951CE2">
      <w:pPr>
        <w:keepLines/>
        <w:spacing w:after="120"/>
        <w:ind w:left="1701" w:hanging="567"/>
        <w:rPr>
          <w:rFonts w:eastAsia="Times New Roman"/>
          <w:color w:val="auto"/>
          <w:szCs w:val="22"/>
          <w:lang w:eastAsia="en-GB"/>
        </w:rPr>
      </w:pPr>
      <w:r w:rsidRPr="00D61C5D">
        <w:rPr>
          <w:rFonts w:eastAsia="Times New Roman"/>
          <w:color w:val="auto"/>
          <w:szCs w:val="22"/>
          <w:lang w:eastAsia="en-GB"/>
        </w:rPr>
        <w:t xml:space="preserve">(b) </w:t>
      </w:r>
      <w:r w:rsidRPr="00D61C5D">
        <w:rPr>
          <w:rFonts w:eastAsia="Times New Roman"/>
          <w:color w:val="auto"/>
          <w:szCs w:val="22"/>
          <w:lang w:eastAsia="en-GB"/>
        </w:rPr>
        <w:tab/>
        <w:t xml:space="preserve">the </w:t>
      </w:r>
      <w:r>
        <w:rPr>
          <w:rFonts w:eastAsia="Times New Roman"/>
          <w:color w:val="auto"/>
          <w:szCs w:val="22"/>
          <w:lang w:eastAsia="en-GB"/>
        </w:rPr>
        <w:t>failure of a Scottish public authority to which a requirement for review was made to give such a notice.</w:t>
      </w:r>
    </w:p>
    <w:p w14:paraId="359802BA" w14:textId="735DF9D0" w:rsidR="00951CE2" w:rsidRPr="00D61C5D" w:rsidRDefault="00951CE2" w:rsidP="00951CE2">
      <w:pPr>
        <w:keepLines/>
        <w:spacing w:after="120"/>
        <w:ind w:left="1134"/>
        <w:rPr>
          <w:rFonts w:eastAsia="Times New Roman"/>
          <w:color w:val="auto"/>
          <w:szCs w:val="22"/>
          <w:lang w:eastAsia="en-GB"/>
        </w:rPr>
      </w:pPr>
      <w:r>
        <w:rPr>
          <w:rFonts w:eastAsia="Times New Roman"/>
          <w:color w:val="auto"/>
          <w:szCs w:val="22"/>
          <w:lang w:eastAsia="en-GB"/>
        </w:rPr>
        <w:t>may make application to the Commissioner for a decision whether, in any respect specified in that application, the request for information to which the requirement relates has been dealt with in accordance with Part 1 of this Act.</w:t>
      </w:r>
    </w:p>
    <w:p w14:paraId="23AD7C41" w14:textId="7AA937CE" w:rsidR="00951CE2" w:rsidRPr="00D61C5D" w:rsidRDefault="00951CE2" w:rsidP="00951CE2">
      <w:pPr>
        <w:keepLines/>
        <w:spacing w:after="120"/>
        <w:ind w:left="1134" w:hanging="567"/>
        <w:rPr>
          <w:rFonts w:eastAsia="Times New Roman"/>
          <w:color w:val="auto"/>
          <w:szCs w:val="22"/>
          <w:lang w:eastAsia="en-GB"/>
        </w:rPr>
      </w:pPr>
      <w:r w:rsidRPr="00D61C5D">
        <w:rPr>
          <w:rFonts w:eastAsia="Times New Roman"/>
          <w:color w:val="auto"/>
          <w:szCs w:val="22"/>
          <w:lang w:eastAsia="en-GB"/>
        </w:rPr>
        <w:t xml:space="preserve">(2) </w:t>
      </w:r>
      <w:r w:rsidRPr="00D61C5D">
        <w:rPr>
          <w:rFonts w:eastAsia="Times New Roman"/>
          <w:color w:val="auto"/>
          <w:szCs w:val="22"/>
          <w:lang w:eastAsia="en-GB"/>
        </w:rPr>
        <w:tab/>
      </w:r>
      <w:r>
        <w:rPr>
          <w:rFonts w:eastAsia="Times New Roman"/>
          <w:color w:val="auto"/>
          <w:szCs w:val="22"/>
          <w:lang w:eastAsia="en-GB"/>
        </w:rPr>
        <w:t xml:space="preserve">An application under subsection (1) must - </w:t>
      </w:r>
    </w:p>
    <w:p w14:paraId="5184858E" w14:textId="6BC4E9F4" w:rsidR="00951CE2" w:rsidRPr="00D61C5D" w:rsidRDefault="00951CE2" w:rsidP="00951CE2">
      <w:pPr>
        <w:keepLines/>
        <w:spacing w:after="120"/>
        <w:ind w:left="1701" w:hanging="567"/>
        <w:rPr>
          <w:rFonts w:eastAsia="Times New Roman"/>
          <w:color w:val="auto"/>
          <w:szCs w:val="22"/>
          <w:lang w:eastAsia="en-GB"/>
        </w:rPr>
      </w:pPr>
      <w:r w:rsidRPr="00D61C5D">
        <w:rPr>
          <w:rFonts w:eastAsia="Times New Roman"/>
          <w:color w:val="auto"/>
          <w:szCs w:val="22"/>
          <w:lang w:eastAsia="en-GB"/>
        </w:rPr>
        <w:lastRenderedPageBreak/>
        <w:t xml:space="preserve">(a) </w:t>
      </w:r>
      <w:r w:rsidRPr="00D61C5D">
        <w:rPr>
          <w:rFonts w:eastAsia="Times New Roman"/>
          <w:color w:val="auto"/>
          <w:szCs w:val="22"/>
          <w:lang w:eastAsia="en-GB"/>
        </w:rPr>
        <w:tab/>
      </w:r>
      <w:r>
        <w:rPr>
          <w:rFonts w:eastAsia="Times New Roman"/>
          <w:color w:val="auto"/>
          <w:szCs w:val="22"/>
          <w:lang w:eastAsia="en-GB"/>
        </w:rPr>
        <w:t>be in writing or in another form which, by reason of its having some permanency, is capable of being used for subsequent reference (as, for example, a recording made on audio or video tape);</w:t>
      </w:r>
    </w:p>
    <w:p w14:paraId="64047E69" w14:textId="344A7BC6" w:rsidR="00951CE2" w:rsidRPr="00D61C5D" w:rsidRDefault="00951CE2" w:rsidP="00951CE2">
      <w:pPr>
        <w:keepLines/>
        <w:spacing w:after="120"/>
        <w:ind w:left="1701" w:hanging="567"/>
        <w:rPr>
          <w:rFonts w:eastAsia="Times New Roman"/>
          <w:color w:val="auto"/>
          <w:szCs w:val="22"/>
          <w:lang w:eastAsia="en-GB"/>
        </w:rPr>
      </w:pPr>
      <w:r w:rsidRPr="00D61C5D">
        <w:rPr>
          <w:rFonts w:eastAsia="Times New Roman"/>
          <w:color w:val="auto"/>
          <w:szCs w:val="22"/>
          <w:lang w:eastAsia="en-GB"/>
        </w:rPr>
        <w:t xml:space="preserve">(b) </w:t>
      </w:r>
      <w:r w:rsidRPr="00D61C5D">
        <w:rPr>
          <w:rFonts w:eastAsia="Times New Roman"/>
          <w:color w:val="auto"/>
          <w:szCs w:val="22"/>
          <w:lang w:eastAsia="en-GB"/>
        </w:rPr>
        <w:tab/>
      </w:r>
      <w:r>
        <w:rPr>
          <w:rFonts w:eastAsia="Times New Roman"/>
          <w:color w:val="auto"/>
          <w:szCs w:val="22"/>
          <w:lang w:eastAsia="en-GB"/>
        </w:rPr>
        <w:t>state the name of the applicant and an address for correspondence</w:t>
      </w:r>
      <w:r w:rsidRPr="00D61C5D">
        <w:rPr>
          <w:rFonts w:eastAsia="Times New Roman"/>
          <w:color w:val="auto"/>
          <w:szCs w:val="22"/>
          <w:lang w:eastAsia="en-GB"/>
        </w:rPr>
        <w:t>;</w:t>
      </w:r>
      <w:r>
        <w:rPr>
          <w:rFonts w:eastAsia="Times New Roman"/>
          <w:color w:val="auto"/>
          <w:szCs w:val="22"/>
          <w:lang w:eastAsia="en-GB"/>
        </w:rPr>
        <w:t xml:space="preserve"> and</w:t>
      </w:r>
    </w:p>
    <w:p w14:paraId="1B727C94" w14:textId="7A189862" w:rsidR="00951CE2" w:rsidRDefault="00951CE2" w:rsidP="00951CE2">
      <w:pPr>
        <w:keepLines/>
        <w:spacing w:after="120"/>
        <w:ind w:left="1701" w:hanging="567"/>
        <w:rPr>
          <w:rFonts w:eastAsia="Times New Roman"/>
          <w:color w:val="auto"/>
          <w:szCs w:val="22"/>
          <w:lang w:eastAsia="en-GB"/>
        </w:rPr>
      </w:pPr>
      <w:r w:rsidRPr="00D61C5D">
        <w:rPr>
          <w:rFonts w:eastAsia="Times New Roman"/>
          <w:color w:val="auto"/>
          <w:szCs w:val="22"/>
          <w:lang w:eastAsia="en-GB"/>
        </w:rPr>
        <w:t xml:space="preserve">(c) </w:t>
      </w:r>
      <w:r w:rsidRPr="00D61C5D">
        <w:rPr>
          <w:rFonts w:eastAsia="Times New Roman"/>
          <w:color w:val="auto"/>
          <w:szCs w:val="22"/>
          <w:lang w:eastAsia="en-GB"/>
        </w:rPr>
        <w:tab/>
      </w:r>
      <w:r>
        <w:rPr>
          <w:rFonts w:eastAsia="Times New Roman"/>
          <w:color w:val="auto"/>
          <w:szCs w:val="22"/>
          <w:lang w:eastAsia="en-GB"/>
        </w:rPr>
        <w:t xml:space="preserve">specify – </w:t>
      </w:r>
    </w:p>
    <w:p w14:paraId="63C91CD2" w14:textId="54A2FE3D" w:rsidR="00951CE2" w:rsidRDefault="00A80F15" w:rsidP="00A80F15">
      <w:pPr>
        <w:keepLines/>
        <w:spacing w:after="120"/>
        <w:ind w:left="1701" w:hanging="567"/>
        <w:rPr>
          <w:rFonts w:eastAsia="Times New Roman"/>
          <w:color w:val="auto"/>
          <w:szCs w:val="22"/>
          <w:lang w:eastAsia="en-GB"/>
        </w:rPr>
      </w:pPr>
      <w:r>
        <w:rPr>
          <w:rFonts w:eastAsia="Times New Roman"/>
          <w:color w:val="auto"/>
          <w:szCs w:val="22"/>
          <w:lang w:eastAsia="en-GB"/>
        </w:rPr>
        <w:tab/>
        <w:t>(i)</w:t>
      </w:r>
      <w:r>
        <w:rPr>
          <w:rFonts w:eastAsia="Times New Roman"/>
          <w:color w:val="auto"/>
          <w:szCs w:val="22"/>
          <w:lang w:eastAsia="en-GB"/>
        </w:rPr>
        <w:tab/>
        <w:t xml:space="preserve">the </w:t>
      </w:r>
      <w:r w:rsidR="00951CE2">
        <w:rPr>
          <w:rFonts w:eastAsia="Times New Roman"/>
          <w:color w:val="auto"/>
          <w:szCs w:val="22"/>
          <w:lang w:eastAsia="en-GB"/>
        </w:rPr>
        <w:t>request for information to which the requirement for review relates;</w:t>
      </w:r>
    </w:p>
    <w:p w14:paraId="26CD86AA" w14:textId="0476808F" w:rsidR="00951CE2" w:rsidRDefault="00A80F15" w:rsidP="00A80F15">
      <w:pPr>
        <w:keepLines/>
        <w:spacing w:after="120"/>
        <w:ind w:left="2160" w:hanging="471"/>
        <w:rPr>
          <w:rFonts w:eastAsia="Times New Roman"/>
          <w:color w:val="auto"/>
          <w:szCs w:val="22"/>
          <w:lang w:eastAsia="en-GB"/>
        </w:rPr>
      </w:pPr>
      <w:r>
        <w:rPr>
          <w:rFonts w:eastAsia="Times New Roman"/>
          <w:color w:val="auto"/>
          <w:szCs w:val="22"/>
          <w:lang w:eastAsia="en-GB"/>
        </w:rPr>
        <w:t>(ii)</w:t>
      </w:r>
      <w:r>
        <w:rPr>
          <w:rFonts w:eastAsia="Times New Roman"/>
          <w:color w:val="auto"/>
          <w:szCs w:val="22"/>
          <w:lang w:eastAsia="en-GB"/>
        </w:rPr>
        <w:tab/>
        <w:t xml:space="preserve">the </w:t>
      </w:r>
      <w:r w:rsidR="00951CE2">
        <w:rPr>
          <w:rFonts w:eastAsia="Times New Roman"/>
          <w:color w:val="auto"/>
          <w:szCs w:val="22"/>
          <w:lang w:eastAsia="en-GB"/>
        </w:rPr>
        <w:t>matter which was specified under sub-paragraph (ii) of section 20(3)(c); and</w:t>
      </w:r>
    </w:p>
    <w:p w14:paraId="0510ACB6" w14:textId="46A34830" w:rsidR="00772DD7" w:rsidRDefault="00A80F15" w:rsidP="008B2A69">
      <w:pPr>
        <w:keepLines/>
        <w:spacing w:after="120"/>
        <w:ind w:left="2160" w:hanging="471"/>
        <w:rPr>
          <w:rFonts w:eastAsia="Times New Roman"/>
          <w:color w:val="auto"/>
          <w:szCs w:val="22"/>
          <w:lang w:eastAsia="en-GB"/>
        </w:rPr>
      </w:pPr>
      <w:r>
        <w:rPr>
          <w:rFonts w:eastAsia="Times New Roman"/>
          <w:color w:val="auto"/>
          <w:szCs w:val="22"/>
          <w:lang w:eastAsia="en-GB"/>
        </w:rPr>
        <w:t>(iii)</w:t>
      </w:r>
      <w:r>
        <w:rPr>
          <w:rFonts w:eastAsia="Times New Roman"/>
          <w:color w:val="auto"/>
          <w:szCs w:val="22"/>
          <w:lang w:eastAsia="en-GB"/>
        </w:rPr>
        <w:tab/>
        <w:t xml:space="preserve">the </w:t>
      </w:r>
      <w:r w:rsidR="00951CE2">
        <w:rPr>
          <w:rFonts w:eastAsia="Times New Roman"/>
          <w:color w:val="auto"/>
          <w:szCs w:val="22"/>
          <w:lang w:eastAsia="en-GB"/>
        </w:rPr>
        <w:t>matter which gives rise to the dissatisfaction mentioned in subsection (1).</w:t>
      </w:r>
    </w:p>
    <w:p w14:paraId="08BCFABA" w14:textId="77777777" w:rsidR="006E0FC4" w:rsidRDefault="006E0FC4"/>
    <w:sectPr w:rsidR="006E0FC4" w:rsidSect="007837FD">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2C7D4" w14:textId="77777777" w:rsidR="0038223C" w:rsidRDefault="0038223C" w:rsidP="00EA1D7F">
      <w:pPr>
        <w:spacing w:after="0" w:line="240" w:lineRule="auto"/>
      </w:pPr>
      <w:r>
        <w:separator/>
      </w:r>
    </w:p>
  </w:endnote>
  <w:endnote w:type="continuationSeparator" w:id="0">
    <w:p w14:paraId="7117DE87" w14:textId="77777777" w:rsidR="0038223C" w:rsidRDefault="0038223C" w:rsidP="00EA1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0348904"/>
      <w:docPartObj>
        <w:docPartGallery w:val="Page Numbers (Bottom of Page)"/>
        <w:docPartUnique/>
      </w:docPartObj>
    </w:sdtPr>
    <w:sdtEndPr>
      <w:rPr>
        <w:noProof/>
      </w:rPr>
    </w:sdtEndPr>
    <w:sdtContent>
      <w:p w14:paraId="77CFCD8D" w14:textId="75210DD4" w:rsidR="0038223C" w:rsidRDefault="003822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653387" w14:textId="77777777" w:rsidR="0038223C" w:rsidRDefault="00382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656F7" w14:textId="77777777" w:rsidR="0038223C" w:rsidRDefault="0038223C" w:rsidP="00EA1D7F">
      <w:pPr>
        <w:spacing w:after="0" w:line="240" w:lineRule="auto"/>
      </w:pPr>
      <w:r>
        <w:separator/>
      </w:r>
    </w:p>
  </w:footnote>
  <w:footnote w:type="continuationSeparator" w:id="0">
    <w:p w14:paraId="0BE42789" w14:textId="77777777" w:rsidR="0038223C" w:rsidRDefault="0038223C" w:rsidP="00EA1D7F">
      <w:pPr>
        <w:spacing w:after="0" w:line="240" w:lineRule="auto"/>
      </w:pPr>
      <w:r>
        <w:continuationSeparator/>
      </w:r>
    </w:p>
  </w:footnote>
  <w:footnote w:id="1">
    <w:p w14:paraId="31CD7125" w14:textId="53336211" w:rsidR="008C7BFD" w:rsidRPr="002E6CDC" w:rsidRDefault="008C7BFD">
      <w:pPr>
        <w:pStyle w:val="FootnoteText"/>
        <w:rPr>
          <w:lang w:val="en-US"/>
        </w:rPr>
      </w:pPr>
      <w:r>
        <w:rPr>
          <w:rStyle w:val="FootnoteReference"/>
        </w:rPr>
        <w:footnoteRef/>
      </w:r>
      <w:r>
        <w:t xml:space="preserve"> </w:t>
      </w:r>
      <w:hyperlink r:id="rId1" w:history="1">
        <w:r>
          <w:rPr>
            <w:rStyle w:val="Hyperlink"/>
          </w:rPr>
          <w:t>Your Rights FAQs | Scottish Information Commissioner (itspublicknowledge.info)</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F3B7F"/>
    <w:multiLevelType w:val="hybridMultilevel"/>
    <w:tmpl w:val="79CADC68"/>
    <w:lvl w:ilvl="0" w:tplc="D752E8AA">
      <w:start w:val="1"/>
      <w:numFmt w:val="decimal"/>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DAF13A7"/>
    <w:multiLevelType w:val="multilevel"/>
    <w:tmpl w:val="CB3C4888"/>
    <w:lvl w:ilvl="0">
      <w:start w:val="1"/>
      <w:numFmt w:val="decimal"/>
      <w:lvlText w:val="%1."/>
      <w:lvlJc w:val="left"/>
      <w:pPr>
        <w:tabs>
          <w:tab w:val="num" w:pos="567"/>
        </w:tabs>
        <w:ind w:left="567" w:hanging="567"/>
      </w:pPr>
      <w:rPr>
        <w:rFonts w:ascii="Arial" w:hAnsi="Aria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A95401"/>
    <w:multiLevelType w:val="multilevel"/>
    <w:tmpl w:val="B4F6C5A4"/>
    <w:lvl w:ilvl="0">
      <w:start w:val="1"/>
      <w:numFmt w:val="decimal"/>
      <w:pStyle w:val="ListParagraph"/>
      <w:lvlText w:val="%1."/>
      <w:lvlJc w:val="left"/>
      <w:pPr>
        <w:tabs>
          <w:tab w:val="num" w:pos="567"/>
        </w:tabs>
        <w:ind w:left="567" w:hanging="567"/>
      </w:pPr>
      <w:rPr>
        <w:rFonts w:ascii="Arial" w:hAnsi="Aria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3D45648"/>
    <w:multiLevelType w:val="hybridMultilevel"/>
    <w:tmpl w:val="8DD46E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6224266"/>
    <w:multiLevelType w:val="hybridMultilevel"/>
    <w:tmpl w:val="74E61E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0B551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CE11499"/>
    <w:multiLevelType w:val="multilevel"/>
    <w:tmpl w:val="1ADE1DC4"/>
    <w:styleLink w:val="SICdefault1"/>
    <w:lvl w:ilvl="0">
      <w:start w:val="1"/>
      <w:numFmt w:val="decimal"/>
      <w:lvlText w:val="%1."/>
      <w:lvlJc w:val="left"/>
      <w:pPr>
        <w:tabs>
          <w:tab w:val="num" w:pos="567"/>
        </w:tabs>
        <w:ind w:left="567" w:hanging="567"/>
      </w:pPr>
      <w:rPr>
        <w:rFonts w:ascii="Arial" w:hAnsi="Aria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924384"/>
    <w:multiLevelType w:val="hybridMultilevel"/>
    <w:tmpl w:val="FEFA7BA8"/>
    <w:lvl w:ilvl="0" w:tplc="90D0EA3E">
      <w:start w:val="4"/>
      <w:numFmt w:val="decimal"/>
      <w:lvlText w:val="(%1)"/>
      <w:lvlJc w:val="left"/>
      <w:pPr>
        <w:tabs>
          <w:tab w:val="num" w:pos="1440"/>
        </w:tabs>
        <w:ind w:left="1440" w:hanging="720"/>
      </w:p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8" w15:restartNumberingAfterBreak="0">
    <w:nsid w:val="221D786E"/>
    <w:multiLevelType w:val="multilevel"/>
    <w:tmpl w:val="1ADE1DC4"/>
    <w:lvl w:ilvl="0">
      <w:start w:val="1"/>
      <w:numFmt w:val="decimal"/>
      <w:lvlText w:val="%1."/>
      <w:lvlJc w:val="left"/>
      <w:pPr>
        <w:tabs>
          <w:tab w:val="num" w:pos="567"/>
        </w:tabs>
        <w:ind w:left="567" w:hanging="567"/>
      </w:pPr>
      <w:rPr>
        <w:rFonts w:ascii="Arial" w:hAnsi="Aria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3F366ED"/>
    <w:multiLevelType w:val="hybridMultilevel"/>
    <w:tmpl w:val="19C04F60"/>
    <w:lvl w:ilvl="0" w:tplc="199E149C">
      <w:start w:val="1"/>
      <w:numFmt w:val="decimal"/>
      <w:lvlText w:val="%1."/>
      <w:lvlJc w:val="left"/>
      <w:pPr>
        <w:ind w:left="567" w:hanging="567"/>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CD109C6"/>
    <w:multiLevelType w:val="multilevel"/>
    <w:tmpl w:val="D5106DDE"/>
    <w:lvl w:ilvl="0">
      <w:start w:val="1"/>
      <w:numFmt w:val="decimal"/>
      <w:lvlText w:val="%1."/>
      <w:lvlJc w:val="left"/>
      <w:pPr>
        <w:tabs>
          <w:tab w:val="num" w:pos="567"/>
        </w:tabs>
        <w:ind w:left="567" w:hanging="567"/>
      </w:pPr>
      <w:rPr>
        <w:rFonts w:ascii="Arial" w:hAnsi="Arial" w:hint="default"/>
        <w:b w:val="0"/>
        <w:i w:val="0"/>
        <w:caps w:val="0"/>
        <w:strike w:val="0"/>
        <w:dstrike w:val="0"/>
        <w:vanish w:val="0"/>
        <w:sz w:val="24"/>
        <w:vertAlign w:val="baseline"/>
      </w:rPr>
    </w:lvl>
    <w:lvl w:ilvl="1">
      <w:start w:val="1"/>
      <w:numFmt w:val="bullet"/>
      <w:lvlText w:val=""/>
      <w:lvlJc w:val="left"/>
      <w:pPr>
        <w:tabs>
          <w:tab w:val="num" w:pos="1418"/>
        </w:tabs>
        <w:ind w:left="1418" w:hanging="851"/>
      </w:pPr>
      <w:rPr>
        <w:rFonts w:ascii="Symbol" w:hAnsi="Symbol" w:hint="default"/>
        <w:b w:val="0"/>
        <w:i w:val="0"/>
        <w:caps w:val="0"/>
        <w:strike w:val="0"/>
        <w:dstrike w:val="0"/>
        <w:vanish w:val="0"/>
        <w:sz w:val="24"/>
        <w:vertAlign w:val="baseline"/>
      </w:rPr>
    </w:lvl>
    <w:lvl w:ilvl="2">
      <w:start w:val="1"/>
      <w:numFmt w:val="lowerRoman"/>
      <w:lvlText w:val="(%3)"/>
      <w:lvlJc w:val="left"/>
      <w:pPr>
        <w:tabs>
          <w:tab w:val="num" w:pos="1418"/>
        </w:tabs>
        <w:ind w:left="1418" w:hanging="851"/>
      </w:pPr>
      <w:rPr>
        <w:rFonts w:ascii="Arial" w:hAnsi="Arial" w:hint="default"/>
        <w:b w:val="0"/>
        <w:i w:val="0"/>
        <w:caps w:val="0"/>
        <w:strike w:val="0"/>
        <w:dstrike w:val="0"/>
        <w:vanish w:val="0"/>
        <w:sz w:val="24"/>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0C3737A"/>
    <w:multiLevelType w:val="multilevel"/>
    <w:tmpl w:val="1ADE1DC4"/>
    <w:numStyleLink w:val="SICdefault1"/>
  </w:abstractNum>
  <w:abstractNum w:abstractNumId="12" w15:restartNumberingAfterBreak="0">
    <w:nsid w:val="39F93FF9"/>
    <w:multiLevelType w:val="multilevel"/>
    <w:tmpl w:val="794CE4A6"/>
    <w:lvl w:ilvl="0">
      <w:start w:val="1"/>
      <w:numFmt w:val="decimal"/>
      <w:lvlText w:val="%1."/>
      <w:lvlJc w:val="left"/>
      <w:pPr>
        <w:tabs>
          <w:tab w:val="num" w:pos="720"/>
        </w:tabs>
        <w:ind w:left="720" w:hanging="720"/>
      </w:pPr>
      <w:rPr>
        <w:rFonts w:ascii="Arial" w:hAnsi="Arial" w:hint="default"/>
        <w:b w:val="0"/>
        <w:i w:val="0"/>
        <w:caps w:val="0"/>
        <w:strike w:val="0"/>
        <w:dstrike w:val="0"/>
        <w:vanish w:val="0"/>
        <w:sz w:val="24"/>
        <w:vertAlign w:val="baseline"/>
      </w:rPr>
    </w:lvl>
    <w:lvl w:ilvl="1">
      <w:start w:val="1"/>
      <w:numFmt w:val="bullet"/>
      <w:lvlText w:val=""/>
      <w:lvlJc w:val="left"/>
      <w:pPr>
        <w:tabs>
          <w:tab w:val="num" w:pos="1418"/>
        </w:tabs>
        <w:ind w:left="1418" w:hanging="698"/>
      </w:pPr>
      <w:rPr>
        <w:rFonts w:ascii="Symbol" w:hAnsi="Symbol" w:hint="default"/>
        <w:b w:val="0"/>
        <w:i w:val="0"/>
        <w:caps w:val="0"/>
        <w:strike w:val="0"/>
        <w:dstrike w:val="0"/>
        <w:vanish w:val="0"/>
        <w:sz w:val="24"/>
        <w:vertAlign w:val="baseline"/>
      </w:rPr>
    </w:lvl>
    <w:lvl w:ilvl="2">
      <w:start w:val="1"/>
      <w:numFmt w:val="lowerRoman"/>
      <w:lvlText w:val="(%3)"/>
      <w:lvlJc w:val="left"/>
      <w:pPr>
        <w:tabs>
          <w:tab w:val="num" w:pos="1418"/>
        </w:tabs>
        <w:ind w:left="1418" w:hanging="851"/>
      </w:pPr>
      <w:rPr>
        <w:rFonts w:ascii="Arial" w:hAnsi="Arial" w:hint="default"/>
        <w:b w:val="0"/>
        <w:i w:val="0"/>
        <w:caps w:val="0"/>
        <w:strike w:val="0"/>
        <w:dstrike w:val="0"/>
        <w:vanish w:val="0"/>
        <w:sz w:val="24"/>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B6C52AA"/>
    <w:multiLevelType w:val="multilevel"/>
    <w:tmpl w:val="9FF8714A"/>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098" w:hanging="1077"/>
      </w:pPr>
      <w:rPr>
        <w:rFonts w:ascii="Arial" w:hAnsi="Arial" w:hint="default"/>
        <w:sz w:val="24"/>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3E0033E8"/>
    <w:multiLevelType w:val="multilevel"/>
    <w:tmpl w:val="4DD073E4"/>
    <w:lvl w:ilvl="0">
      <w:start w:val="1"/>
      <w:numFmt w:val="decimal"/>
      <w:lvlText w:val="%1."/>
      <w:lvlJc w:val="left"/>
      <w:pPr>
        <w:tabs>
          <w:tab w:val="num" w:pos="567"/>
        </w:tabs>
        <w:ind w:left="567" w:hanging="567"/>
      </w:pPr>
      <w:rPr>
        <w:rFonts w:ascii="Arial" w:hAnsi="Arial" w:hint="default"/>
        <w:b w:val="0"/>
        <w:i w:val="0"/>
        <w:caps w:val="0"/>
        <w:strike w:val="0"/>
        <w:dstrike w:val="0"/>
        <w:vanish w:val="0"/>
        <w:sz w:val="24"/>
        <w:vertAlign w:val="baseline"/>
      </w:rPr>
    </w:lvl>
    <w:lvl w:ilvl="1">
      <w:start w:val="1"/>
      <w:numFmt w:val="bullet"/>
      <w:lvlText w:val=""/>
      <w:lvlJc w:val="left"/>
      <w:pPr>
        <w:tabs>
          <w:tab w:val="num" w:pos="1304"/>
        </w:tabs>
        <w:ind w:left="1304" w:hanging="737"/>
      </w:pPr>
      <w:rPr>
        <w:rFonts w:ascii="Symbol" w:hAnsi="Symbol" w:hint="default"/>
        <w:b w:val="0"/>
        <w:i w:val="0"/>
        <w:caps w:val="0"/>
        <w:strike w:val="0"/>
        <w:dstrike w:val="0"/>
        <w:vanish w:val="0"/>
        <w:sz w:val="24"/>
        <w:vertAlign w:val="baseline"/>
      </w:rPr>
    </w:lvl>
    <w:lvl w:ilvl="2">
      <w:start w:val="1"/>
      <w:numFmt w:val="lowerRoman"/>
      <w:lvlText w:val="(%3)"/>
      <w:lvlJc w:val="left"/>
      <w:pPr>
        <w:tabs>
          <w:tab w:val="num" w:pos="1304"/>
        </w:tabs>
        <w:ind w:left="1304" w:hanging="737"/>
      </w:pPr>
      <w:rPr>
        <w:rFonts w:ascii="Arial" w:hAnsi="Arial" w:hint="default"/>
        <w:b w:val="0"/>
        <w:i w:val="0"/>
        <w:caps w:val="0"/>
        <w:strike w:val="0"/>
        <w:dstrike w:val="0"/>
        <w:vanish w:val="0"/>
        <w:sz w:val="24"/>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3634E14"/>
    <w:multiLevelType w:val="multilevel"/>
    <w:tmpl w:val="1ADE1DC4"/>
    <w:numStyleLink w:val="SICdefault1"/>
  </w:abstractNum>
  <w:abstractNum w:abstractNumId="16" w15:restartNumberingAfterBreak="0">
    <w:nsid w:val="54701AE0"/>
    <w:multiLevelType w:val="hybridMultilevel"/>
    <w:tmpl w:val="55E47C5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5CA200A3"/>
    <w:multiLevelType w:val="hybridMultilevel"/>
    <w:tmpl w:val="4A286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DD1F0B"/>
    <w:multiLevelType w:val="multilevel"/>
    <w:tmpl w:val="6BAC2F7A"/>
    <w:lvl w:ilvl="0">
      <w:start w:val="1"/>
      <w:numFmt w:val="decimal"/>
      <w:lvlText w:val="%1."/>
      <w:lvlJc w:val="left"/>
      <w:pPr>
        <w:tabs>
          <w:tab w:val="num" w:pos="567"/>
        </w:tabs>
        <w:ind w:left="567" w:hanging="567"/>
      </w:pPr>
      <w:rPr>
        <w:rFonts w:ascii="Arial" w:hAnsi="Aria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34C1AFE"/>
    <w:multiLevelType w:val="hybridMultilevel"/>
    <w:tmpl w:val="582E2E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4A0074"/>
    <w:multiLevelType w:val="hybridMultilevel"/>
    <w:tmpl w:val="1C263778"/>
    <w:lvl w:ilvl="0" w:tplc="199E149C">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AD5559"/>
    <w:multiLevelType w:val="multilevel"/>
    <w:tmpl w:val="2F0C3F80"/>
    <w:lvl w:ilvl="0">
      <w:start w:val="1"/>
      <w:numFmt w:val="decimal"/>
      <w:lvlText w:val="%1."/>
      <w:lvlJc w:val="left"/>
      <w:pPr>
        <w:tabs>
          <w:tab w:val="num" w:pos="567"/>
        </w:tabs>
        <w:ind w:left="567" w:hanging="567"/>
      </w:pPr>
      <w:rPr>
        <w:rFonts w:ascii="Arial" w:hAnsi="Aria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C4617B1"/>
    <w:multiLevelType w:val="multilevel"/>
    <w:tmpl w:val="1ADE1DC4"/>
    <w:name w:val="SIC default"/>
    <w:numStyleLink w:val="SICdefault1"/>
  </w:abstractNum>
  <w:abstractNum w:abstractNumId="23" w15:restartNumberingAfterBreak="0">
    <w:nsid w:val="6CFD07F5"/>
    <w:multiLevelType w:val="multilevel"/>
    <w:tmpl w:val="1ADE1DC4"/>
    <w:lvl w:ilvl="0">
      <w:start w:val="1"/>
      <w:numFmt w:val="decimal"/>
      <w:lvlText w:val="%1."/>
      <w:lvlJc w:val="left"/>
      <w:pPr>
        <w:tabs>
          <w:tab w:val="num" w:pos="567"/>
        </w:tabs>
        <w:ind w:left="567" w:hanging="567"/>
      </w:pPr>
      <w:rPr>
        <w:rFonts w:ascii="Arial" w:hAnsi="Aria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0204886"/>
    <w:multiLevelType w:val="multilevel"/>
    <w:tmpl w:val="8C74AF84"/>
    <w:lvl w:ilvl="0">
      <w:start w:val="1"/>
      <w:numFmt w:val="decimal"/>
      <w:lvlText w:val="%1."/>
      <w:lvlJc w:val="left"/>
      <w:pPr>
        <w:tabs>
          <w:tab w:val="num" w:pos="567"/>
        </w:tabs>
        <w:ind w:left="567" w:hanging="567"/>
      </w:pPr>
      <w:rPr>
        <w:rFonts w:ascii="Arial" w:hAnsi="Arial" w:hint="default"/>
        <w:b w:val="0"/>
        <w:i w:val="0"/>
        <w:caps w:val="0"/>
        <w:strike w:val="0"/>
        <w:dstrike w:val="0"/>
        <w:vanish w:val="0"/>
        <w:sz w:val="24"/>
        <w:vertAlign w:val="baseline"/>
      </w:rPr>
    </w:lvl>
    <w:lvl w:ilvl="1">
      <w:start w:val="1"/>
      <w:numFmt w:val="bullet"/>
      <w:lvlText w:val=""/>
      <w:lvlJc w:val="left"/>
      <w:pPr>
        <w:tabs>
          <w:tab w:val="num" w:pos="1304"/>
        </w:tabs>
        <w:ind w:left="1304" w:hanging="737"/>
      </w:pPr>
      <w:rPr>
        <w:rFonts w:ascii="Symbol" w:hAnsi="Symbol" w:hint="default"/>
        <w:b w:val="0"/>
        <w:i w:val="0"/>
        <w:caps w:val="0"/>
        <w:strike w:val="0"/>
        <w:dstrike w:val="0"/>
        <w:vanish w:val="0"/>
        <w:sz w:val="24"/>
        <w:vertAlign w:val="baseline"/>
      </w:rPr>
    </w:lvl>
    <w:lvl w:ilvl="2">
      <w:start w:val="1"/>
      <w:numFmt w:val="lowerRoman"/>
      <w:lvlText w:val="(%3)"/>
      <w:lvlJc w:val="left"/>
      <w:pPr>
        <w:tabs>
          <w:tab w:val="num" w:pos="1304"/>
        </w:tabs>
        <w:ind w:left="1304" w:hanging="737"/>
      </w:pPr>
      <w:rPr>
        <w:rFonts w:ascii="Arial" w:hAnsi="Arial" w:hint="default"/>
        <w:b w:val="0"/>
        <w:i w:val="0"/>
        <w:caps w:val="0"/>
        <w:strike w:val="0"/>
        <w:dstrike w:val="0"/>
        <w:vanish w:val="0"/>
        <w:sz w:val="24"/>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D1B4C11"/>
    <w:multiLevelType w:val="multilevel"/>
    <w:tmpl w:val="BA3C166A"/>
    <w:lvl w:ilvl="0">
      <w:start w:val="1"/>
      <w:numFmt w:val="decimal"/>
      <w:lvlText w:val="%1."/>
      <w:lvlJc w:val="left"/>
      <w:pPr>
        <w:tabs>
          <w:tab w:val="num" w:pos="567"/>
        </w:tabs>
        <w:ind w:left="567" w:hanging="567"/>
      </w:pPr>
      <w:rPr>
        <w:rFonts w:ascii="Arial" w:hAnsi="Arial" w:hint="default"/>
        <w:b w:val="0"/>
        <w:i w:val="0"/>
        <w:caps w:val="0"/>
        <w:strike w:val="0"/>
        <w:dstrike w:val="0"/>
        <w:vanish w:val="0"/>
        <w:sz w:val="22"/>
        <w:vertAlign w:val="baseline"/>
      </w:rPr>
    </w:lvl>
    <w:lvl w:ilvl="1">
      <w:start w:val="1"/>
      <w:numFmt w:val="lowerRoman"/>
      <w:lvlText w:val="(%2)"/>
      <w:lvlJc w:val="left"/>
      <w:pPr>
        <w:tabs>
          <w:tab w:val="num" w:pos="1304"/>
        </w:tabs>
        <w:ind w:left="1304" w:hanging="737"/>
      </w:pPr>
      <w:rPr>
        <w:rFonts w:ascii="Arial" w:hAnsi="Arial" w:hint="default"/>
        <w:b w:val="0"/>
        <w:i w:val="0"/>
        <w:caps w:val="0"/>
        <w:strike w:val="0"/>
        <w:dstrike w:val="0"/>
        <w:vanish w:val="0"/>
        <w:sz w:val="22"/>
        <w:vertAlign w:val="baseline"/>
      </w:rPr>
    </w:lvl>
    <w:lvl w:ilvl="2">
      <w:start w:val="1"/>
      <w:numFmt w:val="bullet"/>
      <w:lvlText w:val=""/>
      <w:lvlJc w:val="left"/>
      <w:pPr>
        <w:tabs>
          <w:tab w:val="num" w:pos="1304"/>
        </w:tabs>
        <w:ind w:left="1304" w:hanging="680"/>
      </w:pPr>
      <w:rPr>
        <w:rFonts w:ascii="Symbol" w:hAnsi="Symbol" w:hint="default"/>
        <w:b w:val="0"/>
        <w:i w:val="0"/>
        <w:caps w:val="0"/>
        <w:strike w:val="0"/>
        <w:dstrike w:val="0"/>
        <w:vanish w:val="0"/>
        <w:sz w:val="22"/>
        <w:vertAlign w:val="baseline"/>
      </w:rPr>
    </w:lvl>
    <w:lvl w:ilvl="3">
      <w:start w:val="1"/>
      <w:numFmt w:val="lowerLetter"/>
      <w:lvlText w:val="(%4)"/>
      <w:lvlJc w:val="left"/>
      <w:pPr>
        <w:ind w:left="1814" w:hanging="737"/>
      </w:pPr>
      <w:rPr>
        <w:rFonts w:ascii="Arial" w:hAnsi="Arial" w:hint="default"/>
        <w:b w:val="0"/>
        <w:i w:val="0"/>
        <w:sz w:val="22"/>
      </w:rPr>
    </w:lvl>
    <w:lvl w:ilvl="4">
      <w:start w:val="1"/>
      <w:numFmt w:val="bullet"/>
      <w:lvlText w:val="-"/>
      <w:lvlJc w:val="left"/>
      <w:pPr>
        <w:ind w:left="2155" w:hanging="397"/>
      </w:pPr>
      <w:rPr>
        <w:rFonts w:ascii="Arial" w:hAnsi="Aria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E0547FC"/>
    <w:multiLevelType w:val="multilevel"/>
    <w:tmpl w:val="9FF8714A"/>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098" w:hanging="1077"/>
      </w:pPr>
      <w:rPr>
        <w:rFonts w:ascii="Arial" w:hAnsi="Arial" w:hint="default"/>
        <w:sz w:val="24"/>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2"/>
  </w:num>
  <w:num w:numId="2">
    <w:abstractNumId w:val="4"/>
  </w:num>
  <w:num w:numId="3">
    <w:abstractNumId w:val="13"/>
  </w:num>
  <w:num w:numId="4">
    <w:abstractNumId w:val="26"/>
  </w:num>
  <w:num w:numId="5">
    <w:abstractNumId w:val="12"/>
  </w:num>
  <w:num w:numId="6">
    <w:abstractNumId w:val="10"/>
  </w:num>
  <w:num w:numId="7">
    <w:abstractNumId w:val="24"/>
  </w:num>
  <w:num w:numId="8">
    <w:abstractNumId w:val="14"/>
  </w:num>
  <w:num w:numId="9">
    <w:abstractNumId w:val="22"/>
  </w:num>
  <w:num w:numId="10">
    <w:abstractNumId w:val="23"/>
  </w:num>
  <w:num w:numId="11">
    <w:abstractNumId w:val="1"/>
  </w:num>
  <w:num w:numId="12">
    <w:abstractNumId w:val="18"/>
  </w:num>
  <w:num w:numId="13">
    <w:abstractNumId w:val="21"/>
  </w:num>
  <w:num w:numId="14">
    <w:abstractNumId w:val="8"/>
  </w:num>
  <w:num w:numId="15">
    <w:abstractNumId w:val="5"/>
  </w:num>
  <w:num w:numId="16">
    <w:abstractNumId w:val="6"/>
  </w:num>
  <w:num w:numId="17">
    <w:abstractNumId w:val="15"/>
  </w:num>
  <w:num w:numId="18">
    <w:abstractNumId w:val="11"/>
  </w:num>
  <w:num w:numId="19">
    <w:abstractNumId w:val="17"/>
  </w:num>
  <w:num w:numId="2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0"/>
  </w:num>
  <w:num w:numId="23">
    <w:abstractNumId w:val="2"/>
  </w:num>
  <w:num w:numId="24">
    <w:abstractNumId w:val="2"/>
  </w:num>
  <w:num w:numId="25">
    <w:abstractNumId w:val="3"/>
  </w:num>
  <w:num w:numId="26">
    <w:abstractNumId w:val="19"/>
  </w:num>
  <w:num w:numId="27">
    <w:abstractNumId w:val="9"/>
  </w:num>
  <w:num w:numId="28">
    <w:abstractNumId w:val="20"/>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D7F"/>
    <w:rsid w:val="000147BF"/>
    <w:rsid w:val="0001631C"/>
    <w:rsid w:val="000258CD"/>
    <w:rsid w:val="000430E8"/>
    <w:rsid w:val="00043CE0"/>
    <w:rsid w:val="00045DC8"/>
    <w:rsid w:val="0005380C"/>
    <w:rsid w:val="00057B23"/>
    <w:rsid w:val="0006323B"/>
    <w:rsid w:val="00064009"/>
    <w:rsid w:val="000640AC"/>
    <w:rsid w:val="0006529D"/>
    <w:rsid w:val="00065AC2"/>
    <w:rsid w:val="00074652"/>
    <w:rsid w:val="00075E03"/>
    <w:rsid w:val="00083124"/>
    <w:rsid w:val="0009188A"/>
    <w:rsid w:val="000974B5"/>
    <w:rsid w:val="000A0553"/>
    <w:rsid w:val="000B40CF"/>
    <w:rsid w:val="000B5005"/>
    <w:rsid w:val="000B5308"/>
    <w:rsid w:val="000B5E0A"/>
    <w:rsid w:val="000C3EC2"/>
    <w:rsid w:val="000C5F23"/>
    <w:rsid w:val="000D184F"/>
    <w:rsid w:val="000D2569"/>
    <w:rsid w:val="000E310C"/>
    <w:rsid w:val="000E561F"/>
    <w:rsid w:val="000F3966"/>
    <w:rsid w:val="000F3A82"/>
    <w:rsid w:val="0010095B"/>
    <w:rsid w:val="00100CCC"/>
    <w:rsid w:val="00103DC0"/>
    <w:rsid w:val="00103E11"/>
    <w:rsid w:val="00112058"/>
    <w:rsid w:val="0011311E"/>
    <w:rsid w:val="0011418A"/>
    <w:rsid w:val="00115495"/>
    <w:rsid w:val="001204C8"/>
    <w:rsid w:val="00120EB9"/>
    <w:rsid w:val="00123926"/>
    <w:rsid w:val="00123B1A"/>
    <w:rsid w:val="00125E1F"/>
    <w:rsid w:val="001354C6"/>
    <w:rsid w:val="00190C13"/>
    <w:rsid w:val="00191A5A"/>
    <w:rsid w:val="00194AB9"/>
    <w:rsid w:val="0019514D"/>
    <w:rsid w:val="001B1B9C"/>
    <w:rsid w:val="001C2129"/>
    <w:rsid w:val="001D279A"/>
    <w:rsid w:val="001D4F53"/>
    <w:rsid w:val="001E12F1"/>
    <w:rsid w:val="001F3735"/>
    <w:rsid w:val="001F544C"/>
    <w:rsid w:val="001F6F89"/>
    <w:rsid w:val="00201C4C"/>
    <w:rsid w:val="002179C6"/>
    <w:rsid w:val="00224314"/>
    <w:rsid w:val="00225449"/>
    <w:rsid w:val="00226070"/>
    <w:rsid w:val="002360CA"/>
    <w:rsid w:val="00240BEF"/>
    <w:rsid w:val="00242FA0"/>
    <w:rsid w:val="002465D5"/>
    <w:rsid w:val="002537BE"/>
    <w:rsid w:val="002558D8"/>
    <w:rsid w:val="00261803"/>
    <w:rsid w:val="002650E1"/>
    <w:rsid w:val="00265211"/>
    <w:rsid w:val="00270895"/>
    <w:rsid w:val="00271644"/>
    <w:rsid w:val="00277716"/>
    <w:rsid w:val="002B1E03"/>
    <w:rsid w:val="002B4477"/>
    <w:rsid w:val="002B7386"/>
    <w:rsid w:val="002C5FA2"/>
    <w:rsid w:val="002C78F6"/>
    <w:rsid w:val="002E6CDC"/>
    <w:rsid w:val="002F3F5B"/>
    <w:rsid w:val="002F4C94"/>
    <w:rsid w:val="00304EDF"/>
    <w:rsid w:val="00314F19"/>
    <w:rsid w:val="00317C21"/>
    <w:rsid w:val="003213A2"/>
    <w:rsid w:val="00323EF6"/>
    <w:rsid w:val="00330911"/>
    <w:rsid w:val="003332D0"/>
    <w:rsid w:val="00337C6C"/>
    <w:rsid w:val="003413BC"/>
    <w:rsid w:val="003563FE"/>
    <w:rsid w:val="00362288"/>
    <w:rsid w:val="00365912"/>
    <w:rsid w:val="003673DC"/>
    <w:rsid w:val="00372256"/>
    <w:rsid w:val="00376433"/>
    <w:rsid w:val="00381201"/>
    <w:rsid w:val="0038223C"/>
    <w:rsid w:val="00391949"/>
    <w:rsid w:val="003925A1"/>
    <w:rsid w:val="003A194C"/>
    <w:rsid w:val="003B249F"/>
    <w:rsid w:val="003B544F"/>
    <w:rsid w:val="003E1699"/>
    <w:rsid w:val="003E60F7"/>
    <w:rsid w:val="003E6804"/>
    <w:rsid w:val="003E7AE6"/>
    <w:rsid w:val="003F6E26"/>
    <w:rsid w:val="004021BF"/>
    <w:rsid w:val="004078CC"/>
    <w:rsid w:val="004141BA"/>
    <w:rsid w:val="0042110C"/>
    <w:rsid w:val="004230A0"/>
    <w:rsid w:val="00426103"/>
    <w:rsid w:val="00426D0C"/>
    <w:rsid w:val="004356FB"/>
    <w:rsid w:val="00443117"/>
    <w:rsid w:val="00443A46"/>
    <w:rsid w:val="00443D91"/>
    <w:rsid w:val="00446E72"/>
    <w:rsid w:val="004524BF"/>
    <w:rsid w:val="00467E8B"/>
    <w:rsid w:val="00470CB9"/>
    <w:rsid w:val="00473559"/>
    <w:rsid w:val="00473BEB"/>
    <w:rsid w:val="00473E44"/>
    <w:rsid w:val="004A0CDB"/>
    <w:rsid w:val="004B6F16"/>
    <w:rsid w:val="004E3732"/>
    <w:rsid w:val="004E3F34"/>
    <w:rsid w:val="004E4E67"/>
    <w:rsid w:val="00500F45"/>
    <w:rsid w:val="00502C4B"/>
    <w:rsid w:val="00524ACB"/>
    <w:rsid w:val="00535097"/>
    <w:rsid w:val="005563EB"/>
    <w:rsid w:val="0056541E"/>
    <w:rsid w:val="005664CA"/>
    <w:rsid w:val="0057290C"/>
    <w:rsid w:val="005762AA"/>
    <w:rsid w:val="00580F65"/>
    <w:rsid w:val="005A02AE"/>
    <w:rsid w:val="005A15E2"/>
    <w:rsid w:val="005A71B0"/>
    <w:rsid w:val="005A7F5D"/>
    <w:rsid w:val="005B185B"/>
    <w:rsid w:val="005B32BE"/>
    <w:rsid w:val="005D43F8"/>
    <w:rsid w:val="005E62C1"/>
    <w:rsid w:val="005E7B58"/>
    <w:rsid w:val="005F7874"/>
    <w:rsid w:val="005F7F3D"/>
    <w:rsid w:val="00607CB4"/>
    <w:rsid w:val="006177BD"/>
    <w:rsid w:val="00622EF9"/>
    <w:rsid w:val="00626E92"/>
    <w:rsid w:val="0063231C"/>
    <w:rsid w:val="00632AC9"/>
    <w:rsid w:val="006335B9"/>
    <w:rsid w:val="006375AF"/>
    <w:rsid w:val="00641A69"/>
    <w:rsid w:val="00642CE1"/>
    <w:rsid w:val="006444DC"/>
    <w:rsid w:val="006472A2"/>
    <w:rsid w:val="006604C7"/>
    <w:rsid w:val="006610BB"/>
    <w:rsid w:val="00667529"/>
    <w:rsid w:val="00670AC6"/>
    <w:rsid w:val="006744CA"/>
    <w:rsid w:val="0067590F"/>
    <w:rsid w:val="00683648"/>
    <w:rsid w:val="00686CA0"/>
    <w:rsid w:val="006904FB"/>
    <w:rsid w:val="00690E5D"/>
    <w:rsid w:val="006A083C"/>
    <w:rsid w:val="006B21A2"/>
    <w:rsid w:val="006C06E2"/>
    <w:rsid w:val="006C76E7"/>
    <w:rsid w:val="006E04F8"/>
    <w:rsid w:val="006E0FC4"/>
    <w:rsid w:val="006E6D33"/>
    <w:rsid w:val="006F0009"/>
    <w:rsid w:val="006F1AEF"/>
    <w:rsid w:val="006F7AAE"/>
    <w:rsid w:val="00704279"/>
    <w:rsid w:val="00706447"/>
    <w:rsid w:val="00713EF8"/>
    <w:rsid w:val="0071696E"/>
    <w:rsid w:val="00720AEB"/>
    <w:rsid w:val="00725159"/>
    <w:rsid w:val="00737250"/>
    <w:rsid w:val="00740400"/>
    <w:rsid w:val="00760F7F"/>
    <w:rsid w:val="007720E1"/>
    <w:rsid w:val="00772B0C"/>
    <w:rsid w:val="00772DD7"/>
    <w:rsid w:val="0077519E"/>
    <w:rsid w:val="00782748"/>
    <w:rsid w:val="007837FD"/>
    <w:rsid w:val="00790906"/>
    <w:rsid w:val="00792974"/>
    <w:rsid w:val="00793C35"/>
    <w:rsid w:val="00794896"/>
    <w:rsid w:val="007A58D2"/>
    <w:rsid w:val="007B366B"/>
    <w:rsid w:val="007B5DE7"/>
    <w:rsid w:val="007C20B1"/>
    <w:rsid w:val="007D1E0C"/>
    <w:rsid w:val="007E3390"/>
    <w:rsid w:val="007E675F"/>
    <w:rsid w:val="007F2753"/>
    <w:rsid w:val="00800845"/>
    <w:rsid w:val="00807751"/>
    <w:rsid w:val="0083273C"/>
    <w:rsid w:val="008332A8"/>
    <w:rsid w:val="008631A8"/>
    <w:rsid w:val="008649B7"/>
    <w:rsid w:val="00872A2A"/>
    <w:rsid w:val="00872A7A"/>
    <w:rsid w:val="008748D0"/>
    <w:rsid w:val="008779AC"/>
    <w:rsid w:val="00886FC3"/>
    <w:rsid w:val="008871FA"/>
    <w:rsid w:val="00894477"/>
    <w:rsid w:val="008967F6"/>
    <w:rsid w:val="008A0592"/>
    <w:rsid w:val="008A085F"/>
    <w:rsid w:val="008A54A2"/>
    <w:rsid w:val="008A5A32"/>
    <w:rsid w:val="008A5B84"/>
    <w:rsid w:val="008B2A69"/>
    <w:rsid w:val="008C6FC4"/>
    <w:rsid w:val="008C7BFD"/>
    <w:rsid w:val="008D2A55"/>
    <w:rsid w:val="008E0C7E"/>
    <w:rsid w:val="00907FF5"/>
    <w:rsid w:val="0092252A"/>
    <w:rsid w:val="009341D7"/>
    <w:rsid w:val="00951CE2"/>
    <w:rsid w:val="00956E8D"/>
    <w:rsid w:val="00963CF1"/>
    <w:rsid w:val="00967888"/>
    <w:rsid w:val="009767B2"/>
    <w:rsid w:val="0098117A"/>
    <w:rsid w:val="00983344"/>
    <w:rsid w:val="00987B03"/>
    <w:rsid w:val="00994D3E"/>
    <w:rsid w:val="009A0F8C"/>
    <w:rsid w:val="009B12AF"/>
    <w:rsid w:val="009C0684"/>
    <w:rsid w:val="009C69F5"/>
    <w:rsid w:val="009F32AC"/>
    <w:rsid w:val="009F40F3"/>
    <w:rsid w:val="00A018D1"/>
    <w:rsid w:val="00A046EE"/>
    <w:rsid w:val="00A11419"/>
    <w:rsid w:val="00A17A4B"/>
    <w:rsid w:val="00A208CD"/>
    <w:rsid w:val="00A21C8C"/>
    <w:rsid w:val="00A240DD"/>
    <w:rsid w:val="00A33797"/>
    <w:rsid w:val="00A40C60"/>
    <w:rsid w:val="00A40E8E"/>
    <w:rsid w:val="00A40FA6"/>
    <w:rsid w:val="00A42AF0"/>
    <w:rsid w:val="00A5031E"/>
    <w:rsid w:val="00A623EB"/>
    <w:rsid w:val="00A63733"/>
    <w:rsid w:val="00A638D7"/>
    <w:rsid w:val="00A65F36"/>
    <w:rsid w:val="00A66E54"/>
    <w:rsid w:val="00A70FBC"/>
    <w:rsid w:val="00A7704A"/>
    <w:rsid w:val="00A774A5"/>
    <w:rsid w:val="00A80F15"/>
    <w:rsid w:val="00A82B6A"/>
    <w:rsid w:val="00A846FF"/>
    <w:rsid w:val="00A9124B"/>
    <w:rsid w:val="00AA2A28"/>
    <w:rsid w:val="00AA6038"/>
    <w:rsid w:val="00AB5434"/>
    <w:rsid w:val="00AC2312"/>
    <w:rsid w:val="00AF5468"/>
    <w:rsid w:val="00B1328B"/>
    <w:rsid w:val="00B15C52"/>
    <w:rsid w:val="00B22E48"/>
    <w:rsid w:val="00B423A2"/>
    <w:rsid w:val="00B558A1"/>
    <w:rsid w:val="00B63EA9"/>
    <w:rsid w:val="00B657D7"/>
    <w:rsid w:val="00B71A63"/>
    <w:rsid w:val="00B74DFC"/>
    <w:rsid w:val="00B80392"/>
    <w:rsid w:val="00B84008"/>
    <w:rsid w:val="00B8611B"/>
    <w:rsid w:val="00B952F9"/>
    <w:rsid w:val="00B97C58"/>
    <w:rsid w:val="00BA1211"/>
    <w:rsid w:val="00BA2324"/>
    <w:rsid w:val="00BC4018"/>
    <w:rsid w:val="00BD0286"/>
    <w:rsid w:val="00BD6E6D"/>
    <w:rsid w:val="00BD707A"/>
    <w:rsid w:val="00BE3D26"/>
    <w:rsid w:val="00BF124C"/>
    <w:rsid w:val="00BF39C7"/>
    <w:rsid w:val="00C0445C"/>
    <w:rsid w:val="00C1177C"/>
    <w:rsid w:val="00C22C98"/>
    <w:rsid w:val="00C371DF"/>
    <w:rsid w:val="00C500CF"/>
    <w:rsid w:val="00C52305"/>
    <w:rsid w:val="00C52DD2"/>
    <w:rsid w:val="00C53AF8"/>
    <w:rsid w:val="00C54587"/>
    <w:rsid w:val="00C6313D"/>
    <w:rsid w:val="00C70FF6"/>
    <w:rsid w:val="00C810D9"/>
    <w:rsid w:val="00C828BC"/>
    <w:rsid w:val="00C85A74"/>
    <w:rsid w:val="00C9547F"/>
    <w:rsid w:val="00CA72BD"/>
    <w:rsid w:val="00CC6F1D"/>
    <w:rsid w:val="00CD400C"/>
    <w:rsid w:val="00CD78F9"/>
    <w:rsid w:val="00D01080"/>
    <w:rsid w:val="00D07484"/>
    <w:rsid w:val="00D25B3C"/>
    <w:rsid w:val="00D26A91"/>
    <w:rsid w:val="00D3734F"/>
    <w:rsid w:val="00D56E93"/>
    <w:rsid w:val="00D57445"/>
    <w:rsid w:val="00D62B42"/>
    <w:rsid w:val="00D62F76"/>
    <w:rsid w:val="00D65910"/>
    <w:rsid w:val="00D66C5C"/>
    <w:rsid w:val="00D766E7"/>
    <w:rsid w:val="00D776D5"/>
    <w:rsid w:val="00D83B06"/>
    <w:rsid w:val="00D853D6"/>
    <w:rsid w:val="00D865D7"/>
    <w:rsid w:val="00D8664E"/>
    <w:rsid w:val="00D87B6A"/>
    <w:rsid w:val="00DB4575"/>
    <w:rsid w:val="00DB66A3"/>
    <w:rsid w:val="00DC3B7A"/>
    <w:rsid w:val="00DD2099"/>
    <w:rsid w:val="00DD36BE"/>
    <w:rsid w:val="00DD41FC"/>
    <w:rsid w:val="00DF3650"/>
    <w:rsid w:val="00DF6393"/>
    <w:rsid w:val="00DF65F0"/>
    <w:rsid w:val="00E10EE5"/>
    <w:rsid w:val="00E12936"/>
    <w:rsid w:val="00E129F5"/>
    <w:rsid w:val="00E251D6"/>
    <w:rsid w:val="00E27D2C"/>
    <w:rsid w:val="00E445B7"/>
    <w:rsid w:val="00E54E48"/>
    <w:rsid w:val="00E54E87"/>
    <w:rsid w:val="00E55BDE"/>
    <w:rsid w:val="00E60A38"/>
    <w:rsid w:val="00E65D7C"/>
    <w:rsid w:val="00E70B63"/>
    <w:rsid w:val="00E87E2D"/>
    <w:rsid w:val="00E92E93"/>
    <w:rsid w:val="00EA1D7F"/>
    <w:rsid w:val="00EA7C45"/>
    <w:rsid w:val="00EB2049"/>
    <w:rsid w:val="00EB6D94"/>
    <w:rsid w:val="00ED3D65"/>
    <w:rsid w:val="00EE2B79"/>
    <w:rsid w:val="00EE7C1C"/>
    <w:rsid w:val="00EF7C6E"/>
    <w:rsid w:val="00F00F12"/>
    <w:rsid w:val="00F11C23"/>
    <w:rsid w:val="00F137D4"/>
    <w:rsid w:val="00F1549F"/>
    <w:rsid w:val="00F168DE"/>
    <w:rsid w:val="00F22DE4"/>
    <w:rsid w:val="00F350EC"/>
    <w:rsid w:val="00F53BEF"/>
    <w:rsid w:val="00F55B63"/>
    <w:rsid w:val="00F57A36"/>
    <w:rsid w:val="00F6062B"/>
    <w:rsid w:val="00F630DF"/>
    <w:rsid w:val="00F650DD"/>
    <w:rsid w:val="00F86942"/>
    <w:rsid w:val="00F956A7"/>
    <w:rsid w:val="00FA3CC4"/>
    <w:rsid w:val="00FA6C19"/>
    <w:rsid w:val="00FB531B"/>
    <w:rsid w:val="00FC51B9"/>
    <w:rsid w:val="00FE15AF"/>
    <w:rsid w:val="00FF2B87"/>
    <w:rsid w:val="00FF4778"/>
    <w:rsid w:val="00FF6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C89E5"/>
  <w15:chartTrackingRefBased/>
  <w15:docId w15:val="{4DCAAAA5-08B1-439D-BD43-5911C5C9D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1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12"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2"/>
    <w:qFormat/>
    <w:rsid w:val="00EA1D7F"/>
    <w:pPr>
      <w:spacing w:after="160"/>
    </w:pPr>
    <w:rPr>
      <w:rFonts w:ascii="Arial" w:hAnsi="Arial" w:cs="Arial"/>
      <w:color w:val="000000" w:themeColor="text1"/>
      <w:szCs w:val="24"/>
    </w:rPr>
  </w:style>
  <w:style w:type="paragraph" w:styleId="Heading1">
    <w:name w:val="heading 1"/>
    <w:basedOn w:val="Normal"/>
    <w:next w:val="Normal"/>
    <w:link w:val="Heading1Char"/>
    <w:autoRedefine/>
    <w:uiPriority w:val="9"/>
    <w:qFormat/>
    <w:rsid w:val="00C500CF"/>
    <w:pPr>
      <w:pBdr>
        <w:bottom w:val="single" w:sz="4" w:space="1" w:color="auto"/>
      </w:pBdr>
      <w:spacing w:before="300" w:after="240" w:line="240" w:lineRule="auto"/>
      <w:outlineLvl w:val="0"/>
    </w:pPr>
    <w:rPr>
      <w:rFonts w:eastAsia="Times New Roman"/>
      <w:b/>
      <w:color w:val="004631"/>
      <w:sz w:val="52"/>
      <w:szCs w:val="52"/>
    </w:rPr>
  </w:style>
  <w:style w:type="paragraph" w:styleId="Heading2">
    <w:name w:val="heading 2"/>
    <w:basedOn w:val="Normal"/>
    <w:next w:val="Normal"/>
    <w:link w:val="Heading2Char"/>
    <w:uiPriority w:val="9"/>
    <w:unhideWhenUsed/>
    <w:qFormat/>
    <w:rsid w:val="00C500CF"/>
    <w:pPr>
      <w:spacing w:after="200" w:line="240" w:lineRule="auto"/>
      <w:outlineLvl w:val="1"/>
    </w:pPr>
    <w:rPr>
      <w:rFonts w:eastAsia="Times New Roman"/>
      <w:b/>
      <w:color w:val="auto"/>
      <w:sz w:val="28"/>
    </w:rPr>
  </w:style>
  <w:style w:type="paragraph" w:styleId="Heading3">
    <w:name w:val="heading 3"/>
    <w:basedOn w:val="Normal"/>
    <w:next w:val="Normal"/>
    <w:link w:val="Heading3Char"/>
    <w:uiPriority w:val="9"/>
    <w:unhideWhenUsed/>
    <w:qFormat/>
    <w:rsid w:val="00C500CF"/>
    <w:pPr>
      <w:spacing w:after="120"/>
      <w:outlineLvl w:val="2"/>
    </w:pPr>
    <w:rPr>
      <w:rFonts w:eastAsia="Times New Roman"/>
      <w:b/>
      <w:i/>
      <w:color w:val="auto"/>
    </w:rPr>
  </w:style>
  <w:style w:type="paragraph" w:styleId="Heading4">
    <w:name w:val="heading 4"/>
    <w:basedOn w:val="Normal"/>
    <w:next w:val="Normal"/>
    <w:link w:val="Heading4Char"/>
    <w:uiPriority w:val="9"/>
    <w:unhideWhenUsed/>
    <w:qFormat/>
    <w:rsid w:val="00C500CF"/>
    <w:pPr>
      <w:keepNext/>
      <w:keepLines/>
      <w:spacing w:after="120"/>
      <w:outlineLvl w:val="3"/>
    </w:pPr>
    <w:rPr>
      <w:rFonts w:eastAsiaTheme="majorEastAsia"/>
      <w:i/>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0CF"/>
    <w:rPr>
      <w:rFonts w:ascii="Arial" w:eastAsia="Times New Roman" w:hAnsi="Arial" w:cs="Arial"/>
      <w:b/>
      <w:color w:val="004631"/>
      <w:sz w:val="52"/>
      <w:szCs w:val="52"/>
    </w:rPr>
  </w:style>
  <w:style w:type="character" w:customStyle="1" w:styleId="Heading2Char">
    <w:name w:val="Heading 2 Char"/>
    <w:basedOn w:val="DefaultParagraphFont"/>
    <w:link w:val="Heading2"/>
    <w:uiPriority w:val="9"/>
    <w:rsid w:val="00C500CF"/>
    <w:rPr>
      <w:rFonts w:ascii="Arial" w:eastAsia="Times New Roman" w:hAnsi="Arial" w:cs="Arial"/>
      <w:b/>
      <w:sz w:val="28"/>
      <w:szCs w:val="24"/>
    </w:rPr>
  </w:style>
  <w:style w:type="character" w:customStyle="1" w:styleId="Heading3Char">
    <w:name w:val="Heading 3 Char"/>
    <w:basedOn w:val="DefaultParagraphFont"/>
    <w:link w:val="Heading3"/>
    <w:uiPriority w:val="9"/>
    <w:rsid w:val="00C500CF"/>
    <w:rPr>
      <w:rFonts w:ascii="Arial" w:eastAsia="Times New Roman" w:hAnsi="Arial" w:cs="Arial"/>
      <w:b/>
      <w:i/>
      <w:szCs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EA1D7F"/>
    <w:pPr>
      <w:numPr>
        <w:numId w:val="1"/>
      </w:numPr>
    </w:pPr>
  </w:style>
  <w:style w:type="character" w:styleId="Hyperlink">
    <w:name w:val="Hyperlink"/>
    <w:basedOn w:val="DefaultParagraphFont"/>
    <w:uiPriority w:val="99"/>
    <w:unhideWhenUsed/>
    <w:rsid w:val="00EA1D7F"/>
    <w:rPr>
      <w:color w:val="0000FF" w:themeColor="hyperlink"/>
      <w:u w:val="single"/>
    </w:rPr>
  </w:style>
  <w:style w:type="paragraph" w:styleId="FootnoteText">
    <w:name w:val="footnote text"/>
    <w:basedOn w:val="Normal"/>
    <w:link w:val="FootnoteTextChar"/>
    <w:uiPriority w:val="99"/>
    <w:unhideWhenUsed/>
    <w:qFormat/>
    <w:rsid w:val="00EA1D7F"/>
    <w:pPr>
      <w:spacing w:after="40" w:line="240" w:lineRule="auto"/>
    </w:pPr>
    <w:rPr>
      <w:sz w:val="20"/>
      <w:szCs w:val="20"/>
    </w:rPr>
  </w:style>
  <w:style w:type="character" w:customStyle="1" w:styleId="FootnoteTextChar">
    <w:name w:val="Footnote Text Char"/>
    <w:basedOn w:val="DefaultParagraphFont"/>
    <w:link w:val="FootnoteText"/>
    <w:uiPriority w:val="99"/>
    <w:rsid w:val="00EA1D7F"/>
    <w:rPr>
      <w:rFonts w:ascii="Arial" w:hAnsi="Arial" w:cs="Arial"/>
      <w:color w:val="000000" w:themeColor="text1"/>
      <w:sz w:val="20"/>
      <w:szCs w:val="20"/>
    </w:rPr>
  </w:style>
  <w:style w:type="character" w:styleId="FootnoteReference">
    <w:name w:val="footnote reference"/>
    <w:basedOn w:val="DefaultParagraphFont"/>
    <w:uiPriority w:val="99"/>
    <w:unhideWhenUsed/>
    <w:rsid w:val="00EA1D7F"/>
    <w:rPr>
      <w:vertAlign w:val="superscript"/>
    </w:rPr>
  </w:style>
  <w:style w:type="character" w:styleId="CommentReference">
    <w:name w:val="annotation reference"/>
    <w:basedOn w:val="DefaultParagraphFont"/>
    <w:uiPriority w:val="99"/>
    <w:semiHidden/>
    <w:unhideWhenUsed/>
    <w:rsid w:val="001F3735"/>
    <w:rPr>
      <w:sz w:val="16"/>
      <w:szCs w:val="16"/>
    </w:rPr>
  </w:style>
  <w:style w:type="paragraph" w:styleId="CommentText">
    <w:name w:val="annotation text"/>
    <w:basedOn w:val="Normal"/>
    <w:link w:val="CommentTextChar"/>
    <w:uiPriority w:val="12"/>
    <w:unhideWhenUsed/>
    <w:qFormat/>
    <w:rsid w:val="001F3735"/>
    <w:pPr>
      <w:spacing w:line="240" w:lineRule="auto"/>
    </w:pPr>
    <w:rPr>
      <w:sz w:val="20"/>
      <w:szCs w:val="20"/>
    </w:rPr>
  </w:style>
  <w:style w:type="character" w:customStyle="1" w:styleId="CommentTextChar">
    <w:name w:val="Comment Text Char"/>
    <w:basedOn w:val="DefaultParagraphFont"/>
    <w:link w:val="CommentText"/>
    <w:uiPriority w:val="12"/>
    <w:rsid w:val="001F3735"/>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1F3735"/>
    <w:rPr>
      <w:b/>
      <w:bCs/>
    </w:rPr>
  </w:style>
  <w:style w:type="character" w:customStyle="1" w:styleId="CommentSubjectChar">
    <w:name w:val="Comment Subject Char"/>
    <w:basedOn w:val="CommentTextChar"/>
    <w:link w:val="CommentSubject"/>
    <w:uiPriority w:val="99"/>
    <w:semiHidden/>
    <w:rsid w:val="001F3735"/>
    <w:rPr>
      <w:rFonts w:ascii="Arial" w:hAnsi="Arial" w:cs="Arial"/>
      <w:b/>
      <w:bCs/>
      <w:color w:val="000000" w:themeColor="text1"/>
      <w:sz w:val="20"/>
      <w:szCs w:val="20"/>
    </w:rPr>
  </w:style>
  <w:style w:type="paragraph" w:styleId="BalloonText">
    <w:name w:val="Balloon Text"/>
    <w:basedOn w:val="Normal"/>
    <w:link w:val="BalloonTextChar"/>
    <w:uiPriority w:val="99"/>
    <w:semiHidden/>
    <w:unhideWhenUsed/>
    <w:rsid w:val="001F37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735"/>
    <w:rPr>
      <w:rFonts w:ascii="Segoe UI" w:hAnsi="Segoe UI" w:cs="Segoe UI"/>
      <w:color w:val="000000" w:themeColor="text1"/>
      <w:sz w:val="18"/>
      <w:szCs w:val="18"/>
    </w:rPr>
  </w:style>
  <w:style w:type="paragraph" w:styleId="Header">
    <w:name w:val="header"/>
    <w:basedOn w:val="Normal"/>
    <w:link w:val="HeaderChar"/>
    <w:uiPriority w:val="99"/>
    <w:unhideWhenUsed/>
    <w:rsid w:val="00057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B23"/>
    <w:rPr>
      <w:rFonts w:ascii="Arial" w:hAnsi="Arial" w:cs="Arial"/>
      <w:color w:val="000000" w:themeColor="text1"/>
      <w:szCs w:val="24"/>
    </w:rPr>
  </w:style>
  <w:style w:type="paragraph" w:styleId="Footer">
    <w:name w:val="footer"/>
    <w:basedOn w:val="Normal"/>
    <w:link w:val="FooterChar"/>
    <w:uiPriority w:val="99"/>
    <w:unhideWhenUsed/>
    <w:rsid w:val="00057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B23"/>
    <w:rPr>
      <w:rFonts w:ascii="Arial" w:hAnsi="Arial" w:cs="Arial"/>
      <w:color w:val="000000" w:themeColor="text1"/>
      <w:szCs w:val="24"/>
    </w:rPr>
  </w:style>
  <w:style w:type="character" w:styleId="UnresolvedMention">
    <w:name w:val="Unresolved Mention"/>
    <w:basedOn w:val="DefaultParagraphFont"/>
    <w:uiPriority w:val="99"/>
    <w:semiHidden/>
    <w:unhideWhenUsed/>
    <w:rsid w:val="00C85A74"/>
    <w:rPr>
      <w:color w:val="605E5C"/>
      <w:shd w:val="clear" w:color="auto" w:fill="E1DFDD"/>
    </w:rPr>
  </w:style>
  <w:style w:type="character" w:customStyle="1" w:styleId="Heading4Char">
    <w:name w:val="Heading 4 Char"/>
    <w:basedOn w:val="DefaultParagraphFont"/>
    <w:link w:val="Heading4"/>
    <w:uiPriority w:val="9"/>
    <w:rsid w:val="00C500CF"/>
    <w:rPr>
      <w:rFonts w:ascii="Arial" w:eastAsiaTheme="majorEastAsia" w:hAnsi="Arial" w:cs="Arial"/>
      <w:i/>
      <w:iCs/>
      <w:szCs w:val="24"/>
    </w:rPr>
  </w:style>
  <w:style w:type="paragraph" w:styleId="Title">
    <w:name w:val="Title"/>
    <w:basedOn w:val="Normal"/>
    <w:next w:val="Normal"/>
    <w:link w:val="TitleChar"/>
    <w:uiPriority w:val="10"/>
    <w:qFormat/>
    <w:rsid w:val="00A63733"/>
    <w:pPr>
      <w:spacing w:after="120"/>
    </w:pPr>
    <w:rPr>
      <w:rFonts w:cs="ArialMT"/>
      <w:color w:val="005758"/>
      <w:sz w:val="60"/>
      <w:szCs w:val="44"/>
    </w:rPr>
  </w:style>
  <w:style w:type="character" w:customStyle="1" w:styleId="TitleChar">
    <w:name w:val="Title Char"/>
    <w:basedOn w:val="DefaultParagraphFont"/>
    <w:link w:val="Title"/>
    <w:uiPriority w:val="10"/>
    <w:rsid w:val="00A63733"/>
    <w:rPr>
      <w:rFonts w:ascii="Arial" w:hAnsi="Arial" w:cs="ArialMT"/>
      <w:color w:val="005758"/>
      <w:sz w:val="60"/>
      <w:szCs w:val="44"/>
    </w:rPr>
  </w:style>
  <w:style w:type="paragraph" w:styleId="NoSpacing">
    <w:name w:val="No Spacing"/>
    <w:basedOn w:val="Normal"/>
    <w:uiPriority w:val="13"/>
    <w:qFormat/>
    <w:rsid w:val="00A63733"/>
    <w:pPr>
      <w:spacing w:after="0" w:line="240" w:lineRule="auto"/>
    </w:pPr>
  </w:style>
  <w:style w:type="numbering" w:customStyle="1" w:styleId="SICdefault1">
    <w:name w:val="SIC default 1"/>
    <w:uiPriority w:val="99"/>
    <w:rsid w:val="00A63733"/>
    <w:pPr>
      <w:numPr>
        <w:numId w:val="16"/>
      </w:numPr>
    </w:pPr>
  </w:style>
  <w:style w:type="paragraph" w:customStyle="1" w:styleId="SubTitle1">
    <w:name w:val="Sub Title 1"/>
    <w:basedOn w:val="Normal"/>
    <w:next w:val="Normal"/>
    <w:uiPriority w:val="11"/>
    <w:qFormat/>
    <w:rsid w:val="00A63733"/>
    <w:pPr>
      <w:spacing w:after="120"/>
    </w:pPr>
    <w:rPr>
      <w:b/>
      <w:color w:val="004631"/>
      <w:sz w:val="28"/>
    </w:rPr>
  </w:style>
  <w:style w:type="paragraph" w:customStyle="1" w:styleId="SubTitle2">
    <w:name w:val="Sub Title 2"/>
    <w:basedOn w:val="Normal"/>
    <w:next w:val="Normal"/>
    <w:uiPriority w:val="11"/>
    <w:qFormat/>
    <w:rsid w:val="00A63733"/>
    <w:pPr>
      <w:spacing w:after="120"/>
    </w:pPr>
    <w:rPr>
      <w:b/>
      <w:color w:val="1F497D" w:themeColor="text2"/>
      <w:sz w:val="24"/>
    </w:rPr>
  </w:style>
  <w:style w:type="paragraph" w:customStyle="1" w:styleId="SubTitle3">
    <w:name w:val="Sub Title 3"/>
    <w:basedOn w:val="SubTitle2"/>
    <w:uiPriority w:val="11"/>
    <w:qFormat/>
    <w:rsid w:val="00A63733"/>
  </w:style>
  <w:style w:type="paragraph" w:styleId="BodyText">
    <w:name w:val="Body Text"/>
    <w:basedOn w:val="Normal"/>
    <w:next w:val="Normal"/>
    <w:link w:val="BodyTextChar"/>
    <w:uiPriority w:val="19"/>
    <w:semiHidden/>
    <w:unhideWhenUsed/>
    <w:qFormat/>
    <w:rsid w:val="00A63733"/>
  </w:style>
  <w:style w:type="character" w:customStyle="1" w:styleId="BodyTextChar">
    <w:name w:val="Body Text Char"/>
    <w:basedOn w:val="DefaultParagraphFont"/>
    <w:link w:val="BodyText"/>
    <w:uiPriority w:val="19"/>
    <w:semiHidden/>
    <w:rsid w:val="00A63733"/>
    <w:rPr>
      <w:rFonts w:ascii="Arial" w:hAnsi="Arial" w:cs="Arial"/>
      <w:color w:val="000000" w:themeColor="text1"/>
      <w:szCs w:val="24"/>
    </w:rPr>
  </w:style>
  <w:style w:type="paragraph" w:styleId="TOC1">
    <w:name w:val="toc 1"/>
    <w:basedOn w:val="Normal"/>
    <w:next w:val="Normal"/>
    <w:autoRedefine/>
    <w:uiPriority w:val="39"/>
    <w:unhideWhenUsed/>
    <w:qFormat/>
    <w:rsid w:val="00A63733"/>
    <w:pPr>
      <w:spacing w:after="100"/>
    </w:pPr>
    <w:rPr>
      <w:b/>
      <w:sz w:val="24"/>
    </w:rPr>
  </w:style>
  <w:style w:type="paragraph" w:customStyle="1" w:styleId="BasicParagraph">
    <w:name w:val="[Basic Paragraph]"/>
    <w:basedOn w:val="Normal"/>
    <w:uiPriority w:val="99"/>
    <w:rsid w:val="00A63733"/>
    <w:pPr>
      <w:widowControl w:val="0"/>
      <w:autoSpaceDE w:val="0"/>
      <w:autoSpaceDN w:val="0"/>
      <w:adjustRightInd w:val="0"/>
      <w:spacing w:after="0" w:line="288" w:lineRule="auto"/>
      <w:textAlignment w:val="center"/>
    </w:pPr>
    <w:rPr>
      <w:rFonts w:ascii="Times-Roman" w:hAnsi="Times-Roman" w:cs="Times-Roman"/>
      <w:color w:val="000000"/>
      <w:sz w:val="24"/>
    </w:rPr>
  </w:style>
  <w:style w:type="table" w:styleId="TableGrid">
    <w:name w:val="Table Grid"/>
    <w:basedOn w:val="TableNormal"/>
    <w:uiPriority w:val="59"/>
    <w:rsid w:val="00A63733"/>
    <w:pPr>
      <w:spacing w:after="0" w:line="240" w:lineRule="auto"/>
      <w:ind w:left="1701" w:hanging="340"/>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637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3733"/>
    <w:rPr>
      <w:rFonts w:ascii="Arial" w:hAnsi="Arial" w:cs="Arial"/>
      <w:color w:val="000000" w:themeColor="text1"/>
      <w:sz w:val="20"/>
      <w:szCs w:val="20"/>
    </w:rPr>
  </w:style>
  <w:style w:type="character" w:styleId="EndnoteReference">
    <w:name w:val="endnote reference"/>
    <w:basedOn w:val="DefaultParagraphFont"/>
    <w:uiPriority w:val="99"/>
    <w:semiHidden/>
    <w:unhideWhenUsed/>
    <w:rsid w:val="00A63733"/>
    <w:rPr>
      <w:vertAlign w:val="superscript"/>
    </w:rPr>
  </w:style>
  <w:style w:type="paragraph" w:styleId="TOCHeading">
    <w:name w:val="TOC Heading"/>
    <w:basedOn w:val="Heading1"/>
    <w:next w:val="Normal"/>
    <w:uiPriority w:val="39"/>
    <w:unhideWhenUsed/>
    <w:qFormat/>
    <w:rsid w:val="00A63733"/>
    <w:pPr>
      <w:keepNext/>
      <w:keepLines/>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customStyle="1" w:styleId="Paragraph">
    <w:name w:val="Paragraph"/>
    <w:basedOn w:val="Normal"/>
    <w:rsid w:val="00A63733"/>
    <w:pPr>
      <w:spacing w:after="240" w:line="240" w:lineRule="auto"/>
    </w:pPr>
    <w:rPr>
      <w:color w:val="auto"/>
      <w:sz w:val="24"/>
      <w:lang w:eastAsia="en-GB"/>
    </w:rPr>
  </w:style>
  <w:style w:type="paragraph" w:styleId="NormalWeb">
    <w:name w:val="Normal (Web)"/>
    <w:basedOn w:val="Normal"/>
    <w:uiPriority w:val="99"/>
    <w:semiHidden/>
    <w:unhideWhenUsed/>
    <w:rsid w:val="0009188A"/>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2465D5"/>
    <w:rPr>
      <w:rFonts w:ascii="Arial" w:hAnsi="Arial" w:cs="Arial"/>
      <w:color w:val="000000" w:themeColor="text1"/>
      <w:szCs w:val="24"/>
    </w:rPr>
  </w:style>
  <w:style w:type="character" w:styleId="Strong">
    <w:name w:val="Strong"/>
    <w:basedOn w:val="DefaultParagraphFont"/>
    <w:uiPriority w:val="22"/>
    <w:qFormat/>
    <w:rsid w:val="00772D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85328">
      <w:bodyDiv w:val="1"/>
      <w:marLeft w:val="0"/>
      <w:marRight w:val="0"/>
      <w:marTop w:val="0"/>
      <w:marBottom w:val="0"/>
      <w:divBdr>
        <w:top w:val="none" w:sz="0" w:space="0" w:color="auto"/>
        <w:left w:val="none" w:sz="0" w:space="0" w:color="auto"/>
        <w:bottom w:val="none" w:sz="0" w:space="0" w:color="auto"/>
        <w:right w:val="none" w:sz="0" w:space="0" w:color="auto"/>
      </w:divBdr>
    </w:div>
    <w:div w:id="733940125">
      <w:bodyDiv w:val="1"/>
      <w:marLeft w:val="0"/>
      <w:marRight w:val="0"/>
      <w:marTop w:val="0"/>
      <w:marBottom w:val="0"/>
      <w:divBdr>
        <w:top w:val="none" w:sz="0" w:space="0" w:color="auto"/>
        <w:left w:val="none" w:sz="0" w:space="0" w:color="auto"/>
        <w:bottom w:val="none" w:sz="0" w:space="0" w:color="auto"/>
        <w:right w:val="none" w:sz="0" w:space="0" w:color="auto"/>
      </w:divBdr>
    </w:div>
    <w:div w:id="906037900">
      <w:bodyDiv w:val="1"/>
      <w:marLeft w:val="0"/>
      <w:marRight w:val="0"/>
      <w:marTop w:val="0"/>
      <w:marBottom w:val="0"/>
      <w:divBdr>
        <w:top w:val="none" w:sz="0" w:space="0" w:color="auto"/>
        <w:left w:val="none" w:sz="0" w:space="0" w:color="auto"/>
        <w:bottom w:val="none" w:sz="0" w:space="0" w:color="auto"/>
        <w:right w:val="none" w:sz="0" w:space="0" w:color="auto"/>
      </w:divBdr>
    </w:div>
    <w:div w:id="907300717">
      <w:bodyDiv w:val="1"/>
      <w:marLeft w:val="0"/>
      <w:marRight w:val="0"/>
      <w:marTop w:val="0"/>
      <w:marBottom w:val="0"/>
      <w:divBdr>
        <w:top w:val="none" w:sz="0" w:space="0" w:color="auto"/>
        <w:left w:val="none" w:sz="0" w:space="0" w:color="auto"/>
        <w:bottom w:val="none" w:sz="0" w:space="0" w:color="auto"/>
        <w:right w:val="none" w:sz="0" w:space="0" w:color="auto"/>
      </w:divBdr>
    </w:div>
    <w:div w:id="1028527523">
      <w:bodyDiv w:val="1"/>
      <w:marLeft w:val="0"/>
      <w:marRight w:val="0"/>
      <w:marTop w:val="0"/>
      <w:marBottom w:val="0"/>
      <w:divBdr>
        <w:top w:val="none" w:sz="0" w:space="0" w:color="auto"/>
        <w:left w:val="none" w:sz="0" w:space="0" w:color="auto"/>
        <w:bottom w:val="none" w:sz="0" w:space="0" w:color="auto"/>
        <w:right w:val="none" w:sz="0" w:space="0" w:color="auto"/>
      </w:divBdr>
    </w:div>
    <w:div w:id="1247037551">
      <w:bodyDiv w:val="1"/>
      <w:marLeft w:val="0"/>
      <w:marRight w:val="0"/>
      <w:marTop w:val="0"/>
      <w:marBottom w:val="0"/>
      <w:divBdr>
        <w:top w:val="none" w:sz="0" w:space="0" w:color="auto"/>
        <w:left w:val="none" w:sz="0" w:space="0" w:color="auto"/>
        <w:bottom w:val="none" w:sz="0" w:space="0" w:color="auto"/>
        <w:right w:val="none" w:sz="0" w:space="0" w:color="auto"/>
      </w:divBdr>
    </w:div>
    <w:div w:id="191739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tspublicknowledge.info/your-rights-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98BC0-256E-43BB-BB68-2181C0828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2402</Words>
  <Characters>13697</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sic@itspublicknowledge.info</dc:creator>
  <cp:keywords/>
  <dc:description/>
  <cp:lastModifiedBy>Elaine Moffat</cp:lastModifiedBy>
  <cp:revision>2</cp:revision>
  <dcterms:created xsi:type="dcterms:W3CDTF">2024-05-17T15:07:00Z</dcterms:created>
  <dcterms:modified xsi:type="dcterms:W3CDTF">2024-05-17T15:07:00Z</dcterms:modified>
</cp:coreProperties>
</file>